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DC56BB" w14:textId="77777777" w:rsidR="00134B9E" w:rsidRDefault="00134B9E" w:rsidP="00037AD5">
      <w:pPr>
        <w:spacing w:after="0" w:line="240" w:lineRule="auto"/>
        <w:ind w:left="720" w:hanging="720"/>
        <w:jc w:val="both"/>
        <w:rPr>
          <w:rFonts w:ascii="Arial Narrow" w:eastAsia="Arial Narrow" w:hAnsi="Arial Narrow" w:cs="Arial Narrow"/>
        </w:rPr>
      </w:pPr>
    </w:p>
    <w:p w14:paraId="42F839F2" w14:textId="77777777" w:rsidR="00134B9E" w:rsidRDefault="00EC6124">
      <w:pPr>
        <w:pBdr>
          <w:top w:val="nil"/>
          <w:left w:val="nil"/>
          <w:bottom w:val="nil"/>
          <w:right w:val="nil"/>
          <w:between w:val="nil"/>
        </w:pBdr>
        <w:tabs>
          <w:tab w:val="center" w:pos="4252"/>
          <w:tab w:val="right" w:pos="8504"/>
        </w:tabs>
        <w:spacing w:after="0" w:line="240" w:lineRule="auto"/>
        <w:jc w:val="center"/>
        <w:rPr>
          <w:rFonts w:ascii="Arial" w:eastAsia="Arial" w:hAnsi="Arial" w:cs="Arial"/>
          <w:b/>
          <w:color w:val="000000"/>
          <w:sz w:val="16"/>
          <w:szCs w:val="16"/>
          <w:u w:val="single"/>
        </w:rPr>
      </w:pPr>
      <w:r>
        <w:rPr>
          <w:rFonts w:ascii="Arial" w:eastAsia="Arial" w:hAnsi="Arial" w:cs="Arial"/>
          <w:b/>
          <w:color w:val="000000"/>
          <w:sz w:val="16"/>
          <w:szCs w:val="16"/>
          <w:u w:val="single"/>
        </w:rPr>
        <w:t>MEMORIA CIENTÍFICO-TÉCNICA DE PROYECTOS COORDINADOS</w:t>
      </w:r>
    </w:p>
    <w:p w14:paraId="47D3D60D" w14:textId="77777777" w:rsidR="00134B9E" w:rsidRDefault="00134B9E">
      <w:pPr>
        <w:spacing w:after="0" w:line="240" w:lineRule="auto"/>
        <w:jc w:val="both"/>
        <w:rPr>
          <w:rFonts w:ascii="Arial Narrow" w:eastAsia="Arial Narrow" w:hAnsi="Arial Narrow" w:cs="Arial Narrow"/>
        </w:rPr>
      </w:pPr>
    </w:p>
    <w:p w14:paraId="24C78219" w14:textId="77777777" w:rsidR="00134B9E" w:rsidRDefault="00EC6124">
      <w:pPr>
        <w:spacing w:after="0" w:line="240" w:lineRule="auto"/>
        <w:jc w:val="both"/>
        <w:rPr>
          <w:rFonts w:ascii="Arial Narrow" w:eastAsia="Arial Narrow" w:hAnsi="Arial Narrow" w:cs="Arial Narrow"/>
        </w:rPr>
      </w:pPr>
      <w:r>
        <w:rPr>
          <w:noProof/>
          <w:lang w:val="en-US"/>
        </w:rPr>
        <mc:AlternateContent>
          <mc:Choice Requires="wps">
            <w:drawing>
              <wp:anchor distT="0" distB="0" distL="114300" distR="114300" simplePos="0" relativeHeight="251658240" behindDoc="0" locked="0" layoutInCell="1" hidden="0" allowOverlap="1" wp14:anchorId="5044CEC2" wp14:editId="7ABCC71C">
                <wp:simplePos x="0" y="0"/>
                <wp:positionH relativeFrom="column">
                  <wp:posOffset>-12699</wp:posOffset>
                </wp:positionH>
                <wp:positionV relativeFrom="paragraph">
                  <wp:posOffset>-12699</wp:posOffset>
                </wp:positionV>
                <wp:extent cx="6000750" cy="287821"/>
                <wp:effectExtent l="0" t="0" r="0" b="0"/>
                <wp:wrapNone/>
                <wp:docPr id="1794672079" name="Rectángulo 1794672079"/>
                <wp:cNvGraphicFramePr/>
                <a:graphic xmlns:a="http://schemas.openxmlformats.org/drawingml/2006/main">
                  <a:graphicData uri="http://schemas.microsoft.com/office/word/2010/wordprocessingShape">
                    <wps:wsp>
                      <wps:cNvSpPr/>
                      <wps:spPr>
                        <a:xfrm>
                          <a:off x="2350388" y="3640852"/>
                          <a:ext cx="5991225" cy="278296"/>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4ABB938" w14:textId="77777777" w:rsidR="00134B9E" w:rsidRDefault="00EC6124">
                            <w:pPr>
                              <w:spacing w:after="0" w:line="240" w:lineRule="auto"/>
                              <w:jc w:val="center"/>
                              <w:textDirection w:val="btLr"/>
                            </w:pPr>
                            <w:r>
                              <w:rPr>
                                <w:rFonts w:ascii="Arial" w:eastAsia="Arial" w:hAnsi="Arial" w:cs="Arial"/>
                                <w:b/>
                                <w:color w:val="000000"/>
                              </w:rPr>
                              <w:t xml:space="preserve">Convocatoria 2025 - «Proyectos Pruebas de Concepto» </w:t>
                            </w:r>
                          </w:p>
                        </w:txbxContent>
                      </wps:txbx>
                      <wps:bodyPr spcFirstLastPara="1" wrap="square" lIns="91425" tIns="45700" rIns="91425" bIns="45700" anchor="t"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044CEC2" id="Rectángulo 1794672079" o:spid="_x0000_s1026" style="position:absolute;left:0;text-align:left;margin-left:-1pt;margin-top:-1pt;width:472.5pt;height:22.6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">
                <v:stroke startarrowwidth="narrow" startarrowlength="short" endarrowwidth="narrow" endarrowlength="short"/>
                <v:textbox inset="2.53958mm,1.2694mm,2.53958mm,1.2694mm">
                  <w:txbxContent>
                    <w:p w14:paraId="34ABB938" w14:textId="77777777" w:rsidR="00134B9E" w:rsidRDefault="00EC6124">
                      <w:pPr>
                        <w:spacing w:after="0" w:line="240" w:lineRule="auto"/>
                        <w:jc w:val="center"/>
                        <w:textDirection w:val="btLr"/>
                      </w:pPr>
                      <w:r>
                        <w:rPr>
                          <w:rFonts w:ascii="Arial" w:eastAsia="Arial" w:hAnsi="Arial" w:cs="Arial"/>
                          <w:b/>
                          <w:color w:val="000000"/>
                        </w:rPr>
                        <w:t xml:space="preserve">Convocatoria 2025 - «Proyectos Pruebas de Concepto» </w:t>
                      </w:r>
                    </w:p>
                  </w:txbxContent>
                </v:textbox>
              </v:rect>
            </w:pict>
          </mc:Fallback>
        </mc:AlternateContent>
      </w:r>
    </w:p>
    <w:p w14:paraId="14D6B69A" w14:textId="77777777" w:rsidR="00134B9E" w:rsidRDefault="00134B9E">
      <w:pPr>
        <w:pBdr>
          <w:top w:val="nil"/>
          <w:left w:val="nil"/>
          <w:bottom w:val="nil"/>
          <w:right w:val="nil"/>
          <w:between w:val="nil"/>
        </w:pBdr>
        <w:spacing w:after="0" w:line="240" w:lineRule="auto"/>
        <w:ind w:left="720"/>
        <w:jc w:val="both"/>
        <w:rPr>
          <w:rFonts w:ascii="Arial Narrow" w:eastAsia="Arial Narrow" w:hAnsi="Arial Narrow" w:cs="Arial Narrow"/>
          <w:color w:val="000000"/>
        </w:rPr>
      </w:pPr>
    </w:p>
    <w:p w14:paraId="0C27EA4B" w14:textId="77777777" w:rsidR="00134B9E" w:rsidRDefault="00EC6124">
      <w:pPr>
        <w:spacing w:after="0" w:line="240" w:lineRule="auto"/>
        <w:jc w:val="both"/>
        <w:rPr>
          <w:rFonts w:ascii="Arial Narrow" w:eastAsia="Arial Narrow" w:hAnsi="Arial Narrow" w:cs="Arial Narrow"/>
          <w:b/>
        </w:rPr>
      </w:pPr>
      <w:r>
        <w:rPr>
          <w:noProof/>
          <w:lang w:val="en-US"/>
        </w:rPr>
        <mc:AlternateContent>
          <mc:Choice Requires="wps">
            <w:drawing>
              <wp:anchor distT="0" distB="0" distL="114300" distR="114300" simplePos="0" relativeHeight="251659264" behindDoc="0" locked="0" layoutInCell="1" hidden="0" allowOverlap="1" wp14:anchorId="372F66D2" wp14:editId="308864A0">
                <wp:simplePos x="0" y="0"/>
                <wp:positionH relativeFrom="column">
                  <wp:posOffset>-12699</wp:posOffset>
                </wp:positionH>
                <wp:positionV relativeFrom="paragraph">
                  <wp:posOffset>25400</wp:posOffset>
                </wp:positionV>
                <wp:extent cx="6000750" cy="800100"/>
                <wp:effectExtent l="0" t="0" r="0" b="0"/>
                <wp:wrapNone/>
                <wp:docPr id="1794672080" name="Rectángulo 1794672080"/>
                <wp:cNvGraphicFramePr/>
                <a:graphic xmlns:a="http://schemas.openxmlformats.org/drawingml/2006/main">
                  <a:graphicData uri="http://schemas.microsoft.com/office/word/2010/wordprocessingShape">
                    <wps:wsp>
                      <wps:cNvSpPr/>
                      <wps:spPr>
                        <a:xfrm>
                          <a:off x="2350388" y="3384713"/>
                          <a:ext cx="5991225" cy="790575"/>
                        </a:xfrm>
                        <a:prstGeom prst="rect">
                          <a:avLst/>
                        </a:prstGeom>
                        <a:solidFill>
                          <a:srgbClr val="FFFF00"/>
                        </a:solidFill>
                        <a:ln w="9525" cap="flat" cmpd="sng">
                          <a:solidFill>
                            <a:srgbClr val="000000"/>
                          </a:solidFill>
                          <a:prstDash val="solid"/>
                          <a:miter lim="800000"/>
                          <a:headEnd type="none" w="sm" len="sm"/>
                          <a:tailEnd type="none" w="sm" len="sm"/>
                        </a:ln>
                      </wps:spPr>
                      <wps:txbx>
                        <w:txbxContent>
                          <w:p w14:paraId="40E1B556" w14:textId="77777777" w:rsidR="00134B9E" w:rsidRDefault="00EC6124">
                            <w:pPr>
                              <w:spacing w:after="0" w:line="240" w:lineRule="auto"/>
                              <w:jc w:val="both"/>
                              <w:textDirection w:val="btLr"/>
                            </w:pPr>
                            <w:r>
                              <w:rPr>
                                <w:rFonts w:ascii="Arial Narrow" w:eastAsia="Arial Narrow" w:hAnsi="Arial Narrow" w:cs="Arial Narrow"/>
                                <w:b/>
                                <w:color w:val="000000"/>
                                <w:sz w:val="21"/>
                              </w:rPr>
                              <w:t xml:space="preserve">AVISO IMPORTANTE - La memoria no podrá exceder de 35 páginas. Para rellenar correctamente esta memoria, lea detenidamente las instrucciones disponibles en la web de la convocatoria. </w:t>
                            </w:r>
                          </w:p>
                          <w:p w14:paraId="2DF66EA6" w14:textId="77777777" w:rsidR="00134B9E" w:rsidRDefault="00134B9E">
                            <w:pPr>
                              <w:spacing w:after="0" w:line="240" w:lineRule="auto"/>
                              <w:jc w:val="both"/>
                              <w:textDirection w:val="btLr"/>
                            </w:pPr>
                          </w:p>
                          <w:p w14:paraId="61FF97F1" w14:textId="77777777" w:rsidR="00134B9E" w:rsidRPr="00037AD5" w:rsidRDefault="00EC6124">
                            <w:pPr>
                              <w:spacing w:after="0" w:line="240" w:lineRule="auto"/>
                              <w:jc w:val="both"/>
                              <w:textDirection w:val="btLr"/>
                              <w:rPr>
                                <w:lang w:val="en-US"/>
                              </w:rPr>
                            </w:pPr>
                            <w:r w:rsidRPr="00037AD5">
                              <w:rPr>
                                <w:rFonts w:ascii="Arial Narrow" w:eastAsia="Arial Narrow" w:hAnsi="Arial Narrow" w:cs="Arial Narrow"/>
                                <w:b/>
                                <w:i/>
                                <w:color w:val="000000"/>
                                <w:sz w:val="21"/>
                                <w:lang w:val="en-US"/>
                              </w:rPr>
                              <w:t xml:space="preserve">IMPORTANT – The research proposal cannot exceed 35 pages. </w:t>
                            </w:r>
                            <w:r w:rsidRPr="00037AD5">
                              <w:rPr>
                                <w:color w:val="000000"/>
                                <w:lang w:val="en-US"/>
                              </w:rPr>
                              <w:t xml:space="preserve"> </w:t>
                            </w:r>
                            <w:r w:rsidRPr="00037AD5">
                              <w:rPr>
                                <w:rFonts w:ascii="Arial Narrow" w:eastAsia="Arial Narrow" w:hAnsi="Arial Narrow" w:cs="Arial Narrow"/>
                                <w:b/>
                                <w:i/>
                                <w:color w:val="000000"/>
                                <w:sz w:val="21"/>
                                <w:lang w:val="en-US"/>
                              </w:rPr>
                              <w:t>Instructions to fill this document are available at the website.</w:t>
                            </w:r>
                          </w:p>
                        </w:txbxContent>
                      </wps:txbx>
                      <wps:bodyPr spcFirstLastPara="1" wrap="square" lIns="91425" tIns="45700" rIns="91425" bIns="45700" anchor="t"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72F66D2" id="Rectángulo 1794672080" o:spid="_x0000_s1027" style="position:absolute;left:0;text-align:left;margin-left:-1pt;margin-top:2pt;width:472.5pt;height:6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" fillcolor="yellow">
                <v:stroke startarrowwidth="narrow" startarrowlength="short" endarrowwidth="narrow" endarrowlength="short"/>
                <v:textbox inset="2.53958mm,1.2694mm,2.53958mm,1.2694mm">
                  <w:txbxContent>
                    <w:p w14:paraId="40E1B556" w14:textId="77777777" w:rsidR="00134B9E" w:rsidRDefault="00EC6124">
                      <w:pPr>
                        <w:spacing w:after="0" w:line="240" w:lineRule="auto"/>
                        <w:jc w:val="both"/>
                        <w:textDirection w:val="btLr"/>
                      </w:pPr>
                      <w:r>
                        <w:rPr>
                          <w:rFonts w:ascii="Arial Narrow" w:eastAsia="Arial Narrow" w:hAnsi="Arial Narrow" w:cs="Arial Narrow"/>
                          <w:b/>
                          <w:color w:val="000000"/>
                          <w:sz w:val="21"/>
                        </w:rPr>
                        <w:t xml:space="preserve">AVISO IMPORTANTE - La memoria no podrá exceder de 35 páginas. Para rellenar correctamente esta memoria, lea detenidamente las instrucciones disponibles en la web de la convocatoria. </w:t>
                      </w:r>
                    </w:p>
                    <w:p w14:paraId="2DF66EA6" w14:textId="77777777" w:rsidR="00134B9E" w:rsidRDefault="00134B9E">
                      <w:pPr>
                        <w:spacing w:after="0" w:line="240" w:lineRule="auto"/>
                        <w:jc w:val="both"/>
                        <w:textDirection w:val="btLr"/>
                      </w:pPr>
                    </w:p>
                    <w:p w14:paraId="61FF97F1" w14:textId="77777777" w:rsidR="00134B9E" w:rsidRDefault="00EC6124">
                      <w:pPr>
                        <w:spacing w:after="0" w:line="240" w:lineRule="auto"/>
                        <w:jc w:val="both"/>
                        <w:textDirection w:val="btLr"/>
                      </w:pPr>
                      <w:r>
                        <w:rPr>
                          <w:rFonts w:ascii="Arial Narrow" w:eastAsia="Arial Narrow" w:hAnsi="Arial Narrow" w:cs="Arial Narrow"/>
                          <w:b/>
                          <w:i/>
                          <w:color w:val="000000"/>
                          <w:sz w:val="21"/>
                        </w:rPr>
                        <w:t xml:space="preserve">IMPORTANT – </w:t>
                      </w:r>
                      <w:proofErr w:type="spellStart"/>
                      <w:r>
                        <w:rPr>
                          <w:rFonts w:ascii="Arial Narrow" w:eastAsia="Arial Narrow" w:hAnsi="Arial Narrow" w:cs="Arial Narrow"/>
                          <w:b/>
                          <w:i/>
                          <w:color w:val="000000"/>
                          <w:sz w:val="21"/>
                        </w:rPr>
                        <w:t>The</w:t>
                      </w:r>
                      <w:proofErr w:type="spellEnd"/>
                      <w:r>
                        <w:rPr>
                          <w:rFonts w:ascii="Arial Narrow" w:eastAsia="Arial Narrow" w:hAnsi="Arial Narrow" w:cs="Arial Narrow"/>
                          <w:b/>
                          <w:i/>
                          <w:color w:val="000000"/>
                          <w:sz w:val="21"/>
                        </w:rPr>
                        <w:t xml:space="preserve"> </w:t>
                      </w:r>
                      <w:proofErr w:type="spellStart"/>
                      <w:r>
                        <w:rPr>
                          <w:rFonts w:ascii="Arial Narrow" w:eastAsia="Arial Narrow" w:hAnsi="Arial Narrow" w:cs="Arial Narrow"/>
                          <w:b/>
                          <w:i/>
                          <w:color w:val="000000"/>
                          <w:sz w:val="21"/>
                        </w:rPr>
                        <w:t>research</w:t>
                      </w:r>
                      <w:proofErr w:type="spellEnd"/>
                      <w:r>
                        <w:rPr>
                          <w:rFonts w:ascii="Arial Narrow" w:eastAsia="Arial Narrow" w:hAnsi="Arial Narrow" w:cs="Arial Narrow"/>
                          <w:b/>
                          <w:i/>
                          <w:color w:val="000000"/>
                          <w:sz w:val="21"/>
                        </w:rPr>
                        <w:t xml:space="preserve"> </w:t>
                      </w:r>
                      <w:proofErr w:type="spellStart"/>
                      <w:r>
                        <w:rPr>
                          <w:rFonts w:ascii="Arial Narrow" w:eastAsia="Arial Narrow" w:hAnsi="Arial Narrow" w:cs="Arial Narrow"/>
                          <w:b/>
                          <w:i/>
                          <w:color w:val="000000"/>
                          <w:sz w:val="21"/>
                        </w:rPr>
                        <w:t>proposal</w:t>
                      </w:r>
                      <w:proofErr w:type="spellEnd"/>
                      <w:r>
                        <w:rPr>
                          <w:rFonts w:ascii="Arial Narrow" w:eastAsia="Arial Narrow" w:hAnsi="Arial Narrow" w:cs="Arial Narrow"/>
                          <w:b/>
                          <w:i/>
                          <w:color w:val="000000"/>
                          <w:sz w:val="21"/>
                        </w:rPr>
                        <w:t xml:space="preserve"> </w:t>
                      </w:r>
                      <w:proofErr w:type="spellStart"/>
                      <w:r>
                        <w:rPr>
                          <w:rFonts w:ascii="Arial Narrow" w:eastAsia="Arial Narrow" w:hAnsi="Arial Narrow" w:cs="Arial Narrow"/>
                          <w:b/>
                          <w:i/>
                          <w:color w:val="000000"/>
                          <w:sz w:val="21"/>
                        </w:rPr>
                        <w:t>cannot</w:t>
                      </w:r>
                      <w:proofErr w:type="spellEnd"/>
                      <w:r>
                        <w:rPr>
                          <w:rFonts w:ascii="Arial Narrow" w:eastAsia="Arial Narrow" w:hAnsi="Arial Narrow" w:cs="Arial Narrow"/>
                          <w:b/>
                          <w:i/>
                          <w:color w:val="000000"/>
                          <w:sz w:val="21"/>
                        </w:rPr>
                        <w:t xml:space="preserve"> </w:t>
                      </w:r>
                      <w:proofErr w:type="spellStart"/>
                      <w:r>
                        <w:rPr>
                          <w:rFonts w:ascii="Arial Narrow" w:eastAsia="Arial Narrow" w:hAnsi="Arial Narrow" w:cs="Arial Narrow"/>
                          <w:b/>
                          <w:i/>
                          <w:color w:val="000000"/>
                          <w:sz w:val="21"/>
                        </w:rPr>
                        <w:t>exceed</w:t>
                      </w:r>
                      <w:proofErr w:type="spellEnd"/>
                      <w:r>
                        <w:rPr>
                          <w:rFonts w:ascii="Arial Narrow" w:eastAsia="Arial Narrow" w:hAnsi="Arial Narrow" w:cs="Arial Narrow"/>
                          <w:b/>
                          <w:i/>
                          <w:color w:val="000000"/>
                          <w:sz w:val="21"/>
                        </w:rPr>
                        <w:t xml:space="preserve"> 35 </w:t>
                      </w:r>
                      <w:proofErr w:type="spellStart"/>
                      <w:r>
                        <w:rPr>
                          <w:rFonts w:ascii="Arial Narrow" w:eastAsia="Arial Narrow" w:hAnsi="Arial Narrow" w:cs="Arial Narrow"/>
                          <w:b/>
                          <w:i/>
                          <w:color w:val="000000"/>
                          <w:sz w:val="21"/>
                        </w:rPr>
                        <w:t>pages</w:t>
                      </w:r>
                      <w:proofErr w:type="spellEnd"/>
                      <w:r>
                        <w:rPr>
                          <w:rFonts w:ascii="Arial Narrow" w:eastAsia="Arial Narrow" w:hAnsi="Arial Narrow" w:cs="Arial Narrow"/>
                          <w:b/>
                          <w:i/>
                          <w:color w:val="000000"/>
                          <w:sz w:val="21"/>
                        </w:rPr>
                        <w:t xml:space="preserve">. </w:t>
                      </w:r>
                      <w:r>
                        <w:rPr>
                          <w:color w:val="000000"/>
                        </w:rPr>
                        <w:t xml:space="preserve"> </w:t>
                      </w:r>
                      <w:proofErr w:type="spellStart"/>
                      <w:r>
                        <w:rPr>
                          <w:rFonts w:ascii="Arial Narrow" w:eastAsia="Arial Narrow" w:hAnsi="Arial Narrow" w:cs="Arial Narrow"/>
                          <w:b/>
                          <w:i/>
                          <w:color w:val="000000"/>
                          <w:sz w:val="21"/>
                        </w:rPr>
                        <w:t>Instructions</w:t>
                      </w:r>
                      <w:proofErr w:type="spellEnd"/>
                      <w:r>
                        <w:rPr>
                          <w:rFonts w:ascii="Arial Narrow" w:eastAsia="Arial Narrow" w:hAnsi="Arial Narrow" w:cs="Arial Narrow"/>
                          <w:b/>
                          <w:i/>
                          <w:color w:val="000000"/>
                          <w:sz w:val="21"/>
                        </w:rPr>
                        <w:t xml:space="preserve"> </w:t>
                      </w:r>
                      <w:proofErr w:type="spellStart"/>
                      <w:r>
                        <w:rPr>
                          <w:rFonts w:ascii="Arial Narrow" w:eastAsia="Arial Narrow" w:hAnsi="Arial Narrow" w:cs="Arial Narrow"/>
                          <w:b/>
                          <w:i/>
                          <w:color w:val="000000"/>
                          <w:sz w:val="21"/>
                        </w:rPr>
                        <w:t>to</w:t>
                      </w:r>
                      <w:proofErr w:type="spellEnd"/>
                      <w:r>
                        <w:rPr>
                          <w:rFonts w:ascii="Arial Narrow" w:eastAsia="Arial Narrow" w:hAnsi="Arial Narrow" w:cs="Arial Narrow"/>
                          <w:b/>
                          <w:i/>
                          <w:color w:val="000000"/>
                          <w:sz w:val="21"/>
                        </w:rPr>
                        <w:t xml:space="preserve"> </w:t>
                      </w:r>
                      <w:proofErr w:type="spellStart"/>
                      <w:r>
                        <w:rPr>
                          <w:rFonts w:ascii="Arial Narrow" w:eastAsia="Arial Narrow" w:hAnsi="Arial Narrow" w:cs="Arial Narrow"/>
                          <w:b/>
                          <w:i/>
                          <w:color w:val="000000"/>
                          <w:sz w:val="21"/>
                        </w:rPr>
                        <w:t>fill</w:t>
                      </w:r>
                      <w:proofErr w:type="spellEnd"/>
                      <w:r>
                        <w:rPr>
                          <w:rFonts w:ascii="Arial Narrow" w:eastAsia="Arial Narrow" w:hAnsi="Arial Narrow" w:cs="Arial Narrow"/>
                          <w:b/>
                          <w:i/>
                          <w:color w:val="000000"/>
                          <w:sz w:val="21"/>
                        </w:rPr>
                        <w:t xml:space="preserve"> </w:t>
                      </w:r>
                      <w:proofErr w:type="spellStart"/>
                      <w:r>
                        <w:rPr>
                          <w:rFonts w:ascii="Arial Narrow" w:eastAsia="Arial Narrow" w:hAnsi="Arial Narrow" w:cs="Arial Narrow"/>
                          <w:b/>
                          <w:i/>
                          <w:color w:val="000000"/>
                          <w:sz w:val="21"/>
                        </w:rPr>
                        <w:t>this</w:t>
                      </w:r>
                      <w:proofErr w:type="spellEnd"/>
                      <w:r>
                        <w:rPr>
                          <w:rFonts w:ascii="Arial Narrow" w:eastAsia="Arial Narrow" w:hAnsi="Arial Narrow" w:cs="Arial Narrow"/>
                          <w:b/>
                          <w:i/>
                          <w:color w:val="000000"/>
                          <w:sz w:val="21"/>
                        </w:rPr>
                        <w:t xml:space="preserve"> </w:t>
                      </w:r>
                      <w:proofErr w:type="spellStart"/>
                      <w:r>
                        <w:rPr>
                          <w:rFonts w:ascii="Arial Narrow" w:eastAsia="Arial Narrow" w:hAnsi="Arial Narrow" w:cs="Arial Narrow"/>
                          <w:b/>
                          <w:i/>
                          <w:color w:val="000000"/>
                          <w:sz w:val="21"/>
                        </w:rPr>
                        <w:t>document</w:t>
                      </w:r>
                      <w:proofErr w:type="spellEnd"/>
                      <w:r>
                        <w:rPr>
                          <w:rFonts w:ascii="Arial Narrow" w:eastAsia="Arial Narrow" w:hAnsi="Arial Narrow" w:cs="Arial Narrow"/>
                          <w:b/>
                          <w:i/>
                          <w:color w:val="000000"/>
                          <w:sz w:val="21"/>
                        </w:rPr>
                        <w:t xml:space="preserve"> are </w:t>
                      </w:r>
                      <w:proofErr w:type="spellStart"/>
                      <w:r>
                        <w:rPr>
                          <w:rFonts w:ascii="Arial Narrow" w:eastAsia="Arial Narrow" w:hAnsi="Arial Narrow" w:cs="Arial Narrow"/>
                          <w:b/>
                          <w:i/>
                          <w:color w:val="000000"/>
                          <w:sz w:val="21"/>
                        </w:rPr>
                        <w:t>available</w:t>
                      </w:r>
                      <w:proofErr w:type="spellEnd"/>
                      <w:r>
                        <w:rPr>
                          <w:rFonts w:ascii="Arial Narrow" w:eastAsia="Arial Narrow" w:hAnsi="Arial Narrow" w:cs="Arial Narrow"/>
                          <w:b/>
                          <w:i/>
                          <w:color w:val="000000"/>
                          <w:sz w:val="21"/>
                        </w:rPr>
                        <w:t xml:space="preserve"> at </w:t>
                      </w:r>
                      <w:proofErr w:type="spellStart"/>
                      <w:r>
                        <w:rPr>
                          <w:rFonts w:ascii="Arial Narrow" w:eastAsia="Arial Narrow" w:hAnsi="Arial Narrow" w:cs="Arial Narrow"/>
                          <w:b/>
                          <w:i/>
                          <w:color w:val="000000"/>
                          <w:sz w:val="21"/>
                        </w:rPr>
                        <w:t>the</w:t>
                      </w:r>
                      <w:proofErr w:type="spellEnd"/>
                      <w:r>
                        <w:rPr>
                          <w:rFonts w:ascii="Arial Narrow" w:eastAsia="Arial Narrow" w:hAnsi="Arial Narrow" w:cs="Arial Narrow"/>
                          <w:b/>
                          <w:i/>
                          <w:color w:val="000000"/>
                          <w:sz w:val="21"/>
                        </w:rPr>
                        <w:t xml:space="preserve"> </w:t>
                      </w:r>
                      <w:proofErr w:type="spellStart"/>
                      <w:r>
                        <w:rPr>
                          <w:rFonts w:ascii="Arial Narrow" w:eastAsia="Arial Narrow" w:hAnsi="Arial Narrow" w:cs="Arial Narrow"/>
                          <w:b/>
                          <w:i/>
                          <w:color w:val="000000"/>
                          <w:sz w:val="21"/>
                        </w:rPr>
                        <w:t>website</w:t>
                      </w:r>
                      <w:proofErr w:type="spellEnd"/>
                      <w:r>
                        <w:rPr>
                          <w:rFonts w:ascii="Arial Narrow" w:eastAsia="Arial Narrow" w:hAnsi="Arial Narrow" w:cs="Arial Narrow"/>
                          <w:b/>
                          <w:i/>
                          <w:color w:val="000000"/>
                          <w:sz w:val="21"/>
                        </w:rPr>
                        <w:t>.</w:t>
                      </w:r>
                    </w:p>
                  </w:txbxContent>
                </v:textbox>
              </v:rect>
            </w:pict>
          </mc:Fallback>
        </mc:AlternateContent>
      </w:r>
    </w:p>
    <w:p w14:paraId="7254097F" w14:textId="77777777" w:rsidR="00134B9E" w:rsidRDefault="00134B9E">
      <w:pPr>
        <w:spacing w:after="0" w:line="240" w:lineRule="auto"/>
        <w:jc w:val="both"/>
        <w:rPr>
          <w:rFonts w:ascii="Arial Narrow" w:eastAsia="Arial Narrow" w:hAnsi="Arial Narrow" w:cs="Arial Narrow"/>
          <w:b/>
        </w:rPr>
      </w:pPr>
    </w:p>
    <w:p w14:paraId="1CFD4D91" w14:textId="77777777" w:rsidR="00134B9E" w:rsidRDefault="00134B9E">
      <w:pPr>
        <w:spacing w:after="0" w:line="240" w:lineRule="auto"/>
        <w:jc w:val="both"/>
        <w:rPr>
          <w:rFonts w:ascii="Arial Narrow" w:eastAsia="Arial Narrow" w:hAnsi="Arial Narrow" w:cs="Arial Narrow"/>
          <w:b/>
        </w:rPr>
      </w:pPr>
    </w:p>
    <w:p w14:paraId="3C95740A" w14:textId="77777777" w:rsidR="00134B9E" w:rsidRDefault="00134B9E">
      <w:pPr>
        <w:spacing w:after="0" w:line="240" w:lineRule="auto"/>
        <w:jc w:val="both"/>
        <w:rPr>
          <w:rFonts w:ascii="Arial" w:eastAsia="Arial" w:hAnsi="Arial" w:cs="Arial"/>
          <w:b/>
        </w:rPr>
      </w:pPr>
    </w:p>
    <w:p w14:paraId="4C917E98" w14:textId="77777777" w:rsidR="00134B9E" w:rsidRDefault="00134B9E">
      <w:pPr>
        <w:spacing w:after="0" w:line="240" w:lineRule="auto"/>
        <w:jc w:val="both"/>
        <w:rPr>
          <w:rFonts w:ascii="Arial" w:eastAsia="Arial" w:hAnsi="Arial" w:cs="Arial"/>
          <w:b/>
        </w:rPr>
      </w:pPr>
    </w:p>
    <w:p w14:paraId="04B27AB1" w14:textId="77777777" w:rsidR="00134B9E" w:rsidRDefault="00134B9E">
      <w:pPr>
        <w:spacing w:after="0" w:line="240" w:lineRule="auto"/>
        <w:jc w:val="both"/>
        <w:rPr>
          <w:rFonts w:ascii="Arial" w:eastAsia="Arial" w:hAnsi="Arial" w:cs="Arial"/>
          <w:b/>
        </w:rPr>
      </w:pPr>
    </w:p>
    <w:p w14:paraId="4E199A3D" w14:textId="77777777" w:rsidR="00134B9E" w:rsidRDefault="00EC6124">
      <w:pPr>
        <w:spacing w:before="60" w:after="60" w:line="240" w:lineRule="auto"/>
        <w:jc w:val="both"/>
        <w:rPr>
          <w:rFonts w:ascii="Arial" w:eastAsia="Arial" w:hAnsi="Arial" w:cs="Arial"/>
          <w:b/>
          <w:color w:val="000000"/>
        </w:rPr>
      </w:pPr>
      <w:r>
        <w:rPr>
          <w:rFonts w:ascii="Arial" w:eastAsia="Arial" w:hAnsi="Arial" w:cs="Arial"/>
          <w:b/>
          <w:color w:val="000000"/>
        </w:rPr>
        <w:t>1. Portada</w:t>
      </w:r>
    </w:p>
    <w:p w14:paraId="473EEA01" w14:textId="77777777" w:rsidR="00134B9E" w:rsidRDefault="00EC6124">
      <w:pPr>
        <w:spacing w:before="60" w:after="60" w:line="240" w:lineRule="auto"/>
        <w:rPr>
          <w:rFonts w:ascii="Arial" w:eastAsia="Arial" w:hAnsi="Arial" w:cs="Arial"/>
        </w:rPr>
      </w:pPr>
      <w:r>
        <w:rPr>
          <w:rFonts w:ascii="Arial" w:eastAsia="Arial" w:hAnsi="Arial" w:cs="Arial"/>
          <w:b/>
          <w:color w:val="000000"/>
        </w:rPr>
        <w:t xml:space="preserve">Título del proyecto coordinado (Acrónimo): </w:t>
      </w:r>
      <w:r>
        <w:rPr>
          <w:rFonts w:ascii="Arial" w:eastAsia="Arial" w:hAnsi="Arial" w:cs="Arial"/>
        </w:rPr>
        <w:t>Hidrodinámica de electrones en materiales 2D: hacia la próxima generación de dispositivos electrónicos de terahercios (HYNEXTERA2D)</w:t>
      </w:r>
    </w:p>
    <w:p w14:paraId="53A40C04" w14:textId="77777777" w:rsidR="00134B9E" w:rsidRPr="00037AD5" w:rsidRDefault="00EC6124">
      <w:pPr>
        <w:spacing w:after="0" w:line="240" w:lineRule="auto"/>
        <w:rPr>
          <w:rFonts w:ascii="Arial" w:eastAsia="Arial" w:hAnsi="Arial" w:cs="Arial"/>
          <w:lang w:val="en-US"/>
        </w:rPr>
      </w:pPr>
      <w:r w:rsidRPr="00037AD5">
        <w:rPr>
          <w:rFonts w:ascii="Arial" w:eastAsia="Arial" w:hAnsi="Arial" w:cs="Arial"/>
          <w:b/>
          <w:i/>
          <w:color w:val="000000"/>
          <w:lang w:val="en-US"/>
        </w:rPr>
        <w:t>Title of the coordinated project (Acronym):</w:t>
      </w:r>
      <w:r w:rsidRPr="00037AD5">
        <w:rPr>
          <w:rFonts w:ascii="Arial" w:eastAsia="Arial" w:hAnsi="Arial" w:cs="Arial"/>
          <w:lang w:val="en-US"/>
        </w:rPr>
        <w:t xml:space="preserve"> Electron Hydrodynamics in 2DMaterials: Toward The Next-Generation of Terahertz Electronic Devices (HYNEXTERA2D)</w:t>
      </w:r>
    </w:p>
    <w:p w14:paraId="576DE59F" w14:textId="77777777" w:rsidR="00134B9E" w:rsidRPr="00037AD5" w:rsidRDefault="00134B9E">
      <w:pPr>
        <w:spacing w:after="0" w:line="240" w:lineRule="auto"/>
        <w:rPr>
          <w:rFonts w:ascii="Arial" w:eastAsia="Arial" w:hAnsi="Arial" w:cs="Arial"/>
          <w:lang w:val="en-US"/>
        </w:rPr>
      </w:pPr>
    </w:p>
    <w:p w14:paraId="2E0EDB61" w14:textId="77777777" w:rsidR="00134B9E" w:rsidRPr="00037AD5" w:rsidRDefault="00134B9E">
      <w:pPr>
        <w:spacing w:after="0" w:line="240" w:lineRule="auto"/>
        <w:rPr>
          <w:rFonts w:ascii="Arial" w:eastAsia="Arial" w:hAnsi="Arial" w:cs="Arial"/>
          <w:b/>
          <w:lang w:val="en-US"/>
        </w:rPr>
      </w:pPr>
    </w:p>
    <w:p w14:paraId="0B02F12F" w14:textId="77777777" w:rsidR="00134B9E" w:rsidRDefault="00EC6124">
      <w:pPr>
        <w:pBdr>
          <w:top w:val="single" w:sz="4" w:space="1" w:color="000000"/>
          <w:left w:val="single" w:sz="4" w:space="4" w:color="000000"/>
          <w:bottom w:val="single" w:sz="4" w:space="1" w:color="000000"/>
          <w:right w:val="single" w:sz="4" w:space="0" w:color="000000"/>
        </w:pBdr>
        <w:spacing w:before="60" w:after="60" w:line="240" w:lineRule="auto"/>
        <w:jc w:val="both"/>
        <w:rPr>
          <w:rFonts w:ascii="Arial" w:eastAsia="Arial" w:hAnsi="Arial" w:cs="Arial"/>
          <w:b/>
          <w:color w:val="000000"/>
        </w:rPr>
      </w:pPr>
      <w:r>
        <w:rPr>
          <w:rFonts w:ascii="Arial" w:eastAsia="Arial" w:hAnsi="Arial" w:cs="Arial"/>
          <w:b/>
          <w:color w:val="000000"/>
        </w:rPr>
        <w:t xml:space="preserve">Datos de los subproyectos  - </w:t>
      </w:r>
      <w:r>
        <w:rPr>
          <w:rFonts w:ascii="Arial" w:eastAsia="Arial" w:hAnsi="Arial" w:cs="Arial"/>
          <w:b/>
          <w:i/>
          <w:color w:val="000000"/>
        </w:rPr>
        <w:t>Subprojects data (elimine los que no proceda)</w:t>
      </w:r>
    </w:p>
    <w:p w14:paraId="0AEB3C7E" w14:textId="77777777" w:rsidR="00134B9E" w:rsidRDefault="00EC6124">
      <w:pPr>
        <w:spacing w:before="60" w:after="60" w:line="240" w:lineRule="auto"/>
        <w:jc w:val="both"/>
        <w:rPr>
          <w:rFonts w:ascii="Arial" w:eastAsia="Arial" w:hAnsi="Arial" w:cs="Arial"/>
          <w:b/>
          <w:color w:val="000000"/>
        </w:rPr>
      </w:pPr>
      <w:r>
        <w:rPr>
          <w:rFonts w:ascii="Arial" w:eastAsia="Arial" w:hAnsi="Arial" w:cs="Arial"/>
          <w:b/>
          <w:color w:val="000000"/>
          <w:u w:val="single"/>
        </w:rPr>
        <w:t>Subproyecto 1</w:t>
      </w:r>
      <w:r>
        <w:rPr>
          <w:rFonts w:ascii="Arial" w:eastAsia="Arial" w:hAnsi="Arial" w:cs="Arial"/>
          <w:b/>
          <w:color w:val="000000"/>
          <w:sz w:val="24"/>
          <w:szCs w:val="24"/>
        </w:rPr>
        <w:t>:</w:t>
      </w:r>
    </w:p>
    <w:p w14:paraId="7D7C6BE3" w14:textId="77777777" w:rsidR="00134B9E" w:rsidRDefault="00EC6124">
      <w:pPr>
        <w:spacing w:before="60" w:after="60"/>
        <w:jc w:val="both"/>
        <w:rPr>
          <w:rFonts w:ascii="Arial" w:eastAsia="Arial" w:hAnsi="Arial" w:cs="Arial"/>
          <w:color w:val="000000"/>
        </w:rPr>
      </w:pPr>
      <w:r>
        <w:rPr>
          <w:rFonts w:ascii="Arial" w:eastAsia="Arial" w:hAnsi="Arial" w:cs="Arial"/>
          <w:b/>
          <w:color w:val="000000"/>
        </w:rPr>
        <w:t xml:space="preserve">IP 1 Coordinador 1 </w:t>
      </w:r>
      <w:r>
        <w:rPr>
          <w:rFonts w:ascii="Arial" w:eastAsia="Arial" w:hAnsi="Arial" w:cs="Arial"/>
          <w:color w:val="000000"/>
        </w:rPr>
        <w:t>(Nombre y apellidos)</w:t>
      </w:r>
      <w:r>
        <w:rPr>
          <w:rFonts w:ascii="Arial" w:eastAsia="Arial" w:hAnsi="Arial" w:cs="Arial"/>
          <w:b/>
          <w:color w:val="000000"/>
        </w:rPr>
        <w:t xml:space="preserve">: </w:t>
      </w:r>
      <w:r>
        <w:rPr>
          <w:rFonts w:ascii="Arial" w:eastAsia="Arial" w:hAnsi="Arial" w:cs="Arial"/>
        </w:rPr>
        <w:t>Enrique Diez Fernández</w:t>
      </w:r>
    </w:p>
    <w:p w14:paraId="2943D38F" w14:textId="77777777" w:rsidR="00134B9E" w:rsidRDefault="00EC6124">
      <w:pPr>
        <w:spacing w:before="60" w:after="60"/>
        <w:jc w:val="both"/>
        <w:rPr>
          <w:rFonts w:ascii="Arial" w:eastAsia="Arial" w:hAnsi="Arial" w:cs="Arial"/>
          <w:color w:val="000000"/>
        </w:rPr>
      </w:pPr>
      <w:r>
        <w:rPr>
          <w:rFonts w:ascii="Arial" w:eastAsia="Arial" w:hAnsi="Arial" w:cs="Arial"/>
          <w:b/>
          <w:color w:val="000000"/>
        </w:rPr>
        <w:t xml:space="preserve">IP 2 Coordinador 2 </w:t>
      </w:r>
      <w:r>
        <w:rPr>
          <w:rFonts w:ascii="Arial" w:eastAsia="Arial" w:hAnsi="Arial" w:cs="Arial"/>
          <w:color w:val="000000"/>
        </w:rPr>
        <w:t>(Nombre y apellidos)</w:t>
      </w:r>
      <w:r>
        <w:rPr>
          <w:rFonts w:ascii="Arial" w:eastAsia="Arial" w:hAnsi="Arial" w:cs="Arial"/>
          <w:b/>
          <w:color w:val="000000"/>
        </w:rPr>
        <w:t xml:space="preserve">: </w:t>
      </w:r>
      <w:r>
        <w:rPr>
          <w:rFonts w:ascii="Arial" w:eastAsia="Arial" w:hAnsi="Arial" w:cs="Arial"/>
        </w:rPr>
        <w:t>Mario Amado Montero</w:t>
      </w:r>
    </w:p>
    <w:p w14:paraId="2A17E49A" w14:textId="77777777" w:rsidR="00134B9E" w:rsidRDefault="00EC6124">
      <w:pPr>
        <w:spacing w:before="60" w:after="60"/>
        <w:rPr>
          <w:rFonts w:ascii="Arial" w:eastAsia="Arial" w:hAnsi="Arial" w:cs="Arial"/>
        </w:rPr>
      </w:pPr>
      <w:r>
        <w:rPr>
          <w:rFonts w:ascii="Arial" w:eastAsia="Arial" w:hAnsi="Arial" w:cs="Arial"/>
          <w:b/>
          <w:color w:val="000000"/>
        </w:rPr>
        <w:t xml:space="preserve">Título - </w:t>
      </w:r>
      <w:r>
        <w:rPr>
          <w:rFonts w:ascii="Arial" w:eastAsia="Arial" w:hAnsi="Arial" w:cs="Arial"/>
          <w:b/>
          <w:i/>
          <w:color w:val="000000"/>
        </w:rPr>
        <w:t>Títle</w:t>
      </w:r>
      <w:r>
        <w:rPr>
          <w:rFonts w:ascii="Arial" w:eastAsia="Arial" w:hAnsi="Arial" w:cs="Arial"/>
          <w:b/>
          <w:color w:val="000000"/>
        </w:rPr>
        <w:t xml:space="preserve">: </w:t>
      </w:r>
      <w:r>
        <w:rPr>
          <w:rFonts w:ascii="Arial" w:eastAsia="Arial" w:hAnsi="Arial" w:cs="Arial"/>
        </w:rPr>
        <w:t>Hidrodinámica de electrones en materiales 2D: fabricación y caracterización de un nuevo detector de terahercios - Electron Hydrodynamics in 2D Materials: Fabrication and Characterization of  a new Terahertz detector</w:t>
      </w:r>
    </w:p>
    <w:p w14:paraId="26B42681" w14:textId="77777777" w:rsidR="00EC6124" w:rsidRDefault="00EC6124">
      <w:pPr>
        <w:spacing w:before="60" w:after="60"/>
        <w:rPr>
          <w:rFonts w:ascii="Arial" w:eastAsia="Arial" w:hAnsi="Arial" w:cs="Arial"/>
        </w:rPr>
      </w:pPr>
    </w:p>
    <w:p w14:paraId="71A99EA4" w14:textId="77777777" w:rsidR="00134B9E" w:rsidRDefault="00EC6124">
      <w:pPr>
        <w:spacing w:before="60" w:after="60" w:line="240" w:lineRule="auto"/>
        <w:jc w:val="both"/>
        <w:rPr>
          <w:rFonts w:ascii="Arial" w:eastAsia="Arial" w:hAnsi="Arial" w:cs="Arial"/>
          <w:b/>
          <w:color w:val="000000"/>
        </w:rPr>
      </w:pPr>
      <w:r>
        <w:rPr>
          <w:rFonts w:ascii="Arial" w:eastAsia="Arial" w:hAnsi="Arial" w:cs="Arial"/>
          <w:b/>
          <w:color w:val="000000"/>
          <w:u w:val="single"/>
        </w:rPr>
        <w:t>Subproyecto 2</w:t>
      </w:r>
      <w:r>
        <w:rPr>
          <w:rFonts w:ascii="Arial" w:eastAsia="Arial" w:hAnsi="Arial" w:cs="Arial"/>
          <w:b/>
          <w:color w:val="000000"/>
        </w:rPr>
        <w:t>:</w:t>
      </w:r>
    </w:p>
    <w:p w14:paraId="1337EA59" w14:textId="77777777" w:rsidR="00134B9E" w:rsidRDefault="00EC6124">
      <w:pPr>
        <w:spacing w:before="60" w:after="60"/>
        <w:jc w:val="both"/>
        <w:rPr>
          <w:rFonts w:ascii="Arial" w:eastAsia="Arial" w:hAnsi="Arial" w:cs="Arial"/>
          <w:color w:val="000000"/>
        </w:rPr>
      </w:pPr>
      <w:r>
        <w:rPr>
          <w:rFonts w:ascii="Arial" w:eastAsia="Arial" w:hAnsi="Arial" w:cs="Arial"/>
          <w:b/>
          <w:color w:val="000000"/>
        </w:rPr>
        <w:t xml:space="preserve">IP 1 </w:t>
      </w:r>
      <w:r>
        <w:rPr>
          <w:rFonts w:ascii="Arial" w:eastAsia="Arial" w:hAnsi="Arial" w:cs="Arial"/>
          <w:color w:val="000000"/>
        </w:rPr>
        <w:t>(Nombre y apellidos)</w:t>
      </w:r>
      <w:r>
        <w:rPr>
          <w:rFonts w:ascii="Arial" w:eastAsia="Arial" w:hAnsi="Arial" w:cs="Arial"/>
          <w:b/>
          <w:color w:val="000000"/>
        </w:rPr>
        <w:t xml:space="preserve">: </w:t>
      </w:r>
      <w:r>
        <w:rPr>
          <w:rFonts w:ascii="Arial" w:eastAsia="Arial" w:hAnsi="Arial" w:cs="Arial"/>
        </w:rPr>
        <w:t>Francisco Domínguez-Adame</w:t>
      </w:r>
    </w:p>
    <w:p w14:paraId="63261A0B" w14:textId="77777777" w:rsidR="00134B9E" w:rsidRDefault="00EC6124">
      <w:pPr>
        <w:spacing w:before="60" w:after="60"/>
        <w:jc w:val="both"/>
        <w:rPr>
          <w:rFonts w:ascii="Arial" w:eastAsia="Arial" w:hAnsi="Arial" w:cs="Arial"/>
          <w:color w:val="000000"/>
        </w:rPr>
      </w:pPr>
      <w:r>
        <w:rPr>
          <w:rFonts w:ascii="Arial" w:eastAsia="Arial" w:hAnsi="Arial" w:cs="Arial"/>
          <w:b/>
          <w:color w:val="000000"/>
        </w:rPr>
        <w:t xml:space="preserve">IP 2 </w:t>
      </w:r>
      <w:r>
        <w:rPr>
          <w:rFonts w:ascii="Arial" w:eastAsia="Arial" w:hAnsi="Arial" w:cs="Arial"/>
          <w:color w:val="000000"/>
        </w:rPr>
        <w:t>(Nombre y apellidos)</w:t>
      </w:r>
      <w:r>
        <w:rPr>
          <w:rFonts w:ascii="Arial" w:eastAsia="Arial" w:hAnsi="Arial" w:cs="Arial"/>
          <w:b/>
          <w:color w:val="000000"/>
        </w:rPr>
        <w:t xml:space="preserve">: </w:t>
      </w:r>
      <w:r>
        <w:rPr>
          <w:rFonts w:ascii="Arial" w:eastAsia="Arial" w:hAnsi="Arial" w:cs="Arial"/>
        </w:rPr>
        <w:t>Leonor Chico Gómez</w:t>
      </w:r>
      <w:r>
        <w:rPr>
          <w:rFonts w:ascii="Arial" w:eastAsia="Arial" w:hAnsi="Arial" w:cs="Arial"/>
          <w:color w:val="000000"/>
        </w:rPr>
        <w:t>  </w:t>
      </w:r>
    </w:p>
    <w:p w14:paraId="47C1FD4D" w14:textId="77777777" w:rsidR="00134B9E" w:rsidRDefault="00EC6124">
      <w:pPr>
        <w:spacing w:before="60" w:after="60"/>
        <w:rPr>
          <w:rFonts w:ascii="Arial" w:eastAsia="Arial" w:hAnsi="Arial" w:cs="Arial"/>
          <w:b/>
        </w:rPr>
      </w:pPr>
      <w:r>
        <w:rPr>
          <w:rFonts w:ascii="Arial" w:eastAsia="Arial" w:hAnsi="Arial" w:cs="Arial"/>
          <w:b/>
          <w:color w:val="000000"/>
        </w:rPr>
        <w:t xml:space="preserve">Título - </w:t>
      </w:r>
      <w:r>
        <w:rPr>
          <w:rFonts w:ascii="Arial" w:eastAsia="Arial" w:hAnsi="Arial" w:cs="Arial"/>
          <w:b/>
          <w:i/>
          <w:color w:val="000000"/>
        </w:rPr>
        <w:t>Title</w:t>
      </w:r>
      <w:r>
        <w:rPr>
          <w:rFonts w:ascii="Arial" w:eastAsia="Arial" w:hAnsi="Arial" w:cs="Arial"/>
          <w:b/>
          <w:color w:val="000000"/>
        </w:rPr>
        <w:t xml:space="preserve">: </w:t>
      </w:r>
      <w:r>
        <w:rPr>
          <w:rFonts w:ascii="Arial" w:eastAsia="Arial" w:hAnsi="Arial" w:cs="Arial"/>
        </w:rPr>
        <w:t>Hidrodinámica de electrones en materiales 2D: un enfoque teórico para un nuevo detector de terahercios - Electron Hydrodynamics in 2D Materials: A Theoretical Approach to a New Terahertz Detector</w:t>
      </w:r>
    </w:p>
    <w:p w14:paraId="781F3CA0" w14:textId="77777777" w:rsidR="00134B9E" w:rsidRDefault="00134B9E">
      <w:pPr>
        <w:pStyle w:val="Ttulo1"/>
        <w:spacing w:before="0" w:line="240" w:lineRule="auto"/>
        <w:rPr>
          <w:rFonts w:ascii="Arial" w:eastAsia="Arial" w:hAnsi="Arial" w:cs="Arial"/>
          <w:b/>
          <w:color w:val="000000"/>
          <w:sz w:val="22"/>
          <w:szCs w:val="22"/>
        </w:rPr>
      </w:pPr>
    </w:p>
    <w:p w14:paraId="6165B52B" w14:textId="77777777" w:rsidR="00134B9E" w:rsidRPr="00037AD5" w:rsidRDefault="00EC6124">
      <w:pPr>
        <w:pStyle w:val="Ttulo1"/>
        <w:spacing w:before="0" w:line="240" w:lineRule="auto"/>
        <w:rPr>
          <w:lang w:val="en-US"/>
        </w:rPr>
      </w:pPr>
      <w:r w:rsidRPr="00037AD5">
        <w:rPr>
          <w:rFonts w:ascii="Arial" w:eastAsia="Arial" w:hAnsi="Arial" w:cs="Arial"/>
          <w:b/>
          <w:color w:val="000000"/>
          <w:sz w:val="22"/>
          <w:szCs w:val="22"/>
          <w:lang w:val="en-US"/>
        </w:rPr>
        <w:t>2. Índice – Table of content</w:t>
      </w:r>
    </w:p>
    <w:p w14:paraId="15E413F5" w14:textId="77777777" w:rsidR="00134B9E" w:rsidRPr="00037AD5" w:rsidRDefault="00EC6124">
      <w:pPr>
        <w:spacing w:after="0"/>
        <w:ind w:firstLine="720"/>
        <w:rPr>
          <w:rFonts w:ascii="Arial" w:eastAsia="Arial" w:hAnsi="Arial" w:cs="Arial"/>
          <w:lang w:val="en-US"/>
        </w:rPr>
      </w:pPr>
      <w:r w:rsidRPr="00037AD5">
        <w:rPr>
          <w:rFonts w:ascii="Arial" w:eastAsia="Arial" w:hAnsi="Arial" w:cs="Arial"/>
          <w:lang w:val="en-US"/>
        </w:rPr>
        <w:t xml:space="preserve">  3. State of the art, current knowledge and justification of the proposal</w:t>
      </w:r>
    </w:p>
    <w:p w14:paraId="69DE4F9B" w14:textId="77777777" w:rsidR="00134B9E" w:rsidRPr="00037AD5" w:rsidRDefault="00EC6124">
      <w:pPr>
        <w:spacing w:after="0"/>
        <w:ind w:firstLine="720"/>
        <w:rPr>
          <w:rFonts w:ascii="Arial" w:eastAsia="Arial" w:hAnsi="Arial" w:cs="Arial"/>
          <w:lang w:val="en-US"/>
        </w:rPr>
      </w:pPr>
      <w:r w:rsidRPr="00037AD5">
        <w:rPr>
          <w:rFonts w:ascii="Arial" w:eastAsia="Arial" w:hAnsi="Arial" w:cs="Arial"/>
          <w:lang w:val="en-US"/>
        </w:rPr>
        <w:t xml:space="preserve">  4. Objectives</w:t>
      </w:r>
    </w:p>
    <w:p w14:paraId="10A0D097" w14:textId="77777777" w:rsidR="00134B9E" w:rsidRPr="00037AD5" w:rsidRDefault="00EC6124">
      <w:pPr>
        <w:spacing w:after="0"/>
        <w:ind w:firstLine="720"/>
        <w:rPr>
          <w:rFonts w:ascii="Arial" w:eastAsia="Arial" w:hAnsi="Arial" w:cs="Arial"/>
          <w:lang w:val="en-US"/>
        </w:rPr>
      </w:pPr>
      <w:r w:rsidRPr="00037AD5">
        <w:rPr>
          <w:rFonts w:ascii="Arial" w:eastAsia="Arial" w:hAnsi="Arial" w:cs="Arial"/>
          <w:lang w:val="en-US"/>
        </w:rPr>
        <w:t xml:space="preserve">  5. Methodology and implementation plan</w:t>
      </w:r>
    </w:p>
    <w:p w14:paraId="046EFE2F" w14:textId="77777777" w:rsidR="00134B9E" w:rsidRPr="00037AD5" w:rsidRDefault="00EC6124">
      <w:pPr>
        <w:spacing w:after="0"/>
        <w:ind w:firstLine="720"/>
        <w:rPr>
          <w:rFonts w:ascii="Arial" w:eastAsia="Arial" w:hAnsi="Arial" w:cs="Arial"/>
          <w:lang w:val="en-US"/>
        </w:rPr>
      </w:pPr>
      <w:r w:rsidRPr="00037AD5">
        <w:rPr>
          <w:rFonts w:ascii="Arial" w:eastAsia="Arial" w:hAnsi="Arial" w:cs="Arial"/>
          <w:lang w:val="en-US"/>
        </w:rPr>
        <w:t xml:space="preserve">  6. Research team</w:t>
      </w:r>
    </w:p>
    <w:p w14:paraId="311A15EF" w14:textId="77777777" w:rsidR="00134B9E" w:rsidRPr="00037AD5" w:rsidRDefault="00EC6124">
      <w:pPr>
        <w:spacing w:after="0"/>
        <w:ind w:firstLine="720"/>
        <w:rPr>
          <w:rFonts w:ascii="Arial" w:eastAsia="Arial" w:hAnsi="Arial" w:cs="Arial"/>
          <w:lang w:val="en-US"/>
        </w:rPr>
      </w:pPr>
      <w:r w:rsidRPr="00037AD5">
        <w:rPr>
          <w:rFonts w:ascii="Arial" w:eastAsia="Arial" w:hAnsi="Arial" w:cs="Arial"/>
          <w:lang w:val="en-US"/>
        </w:rPr>
        <w:t xml:space="preserve">  7. Scientific and technical impact</w:t>
      </w:r>
    </w:p>
    <w:p w14:paraId="50C848E4" w14:textId="77777777" w:rsidR="00134B9E" w:rsidRPr="00037AD5" w:rsidRDefault="00EC6124">
      <w:pPr>
        <w:spacing w:after="0"/>
        <w:ind w:firstLine="720"/>
        <w:rPr>
          <w:rFonts w:ascii="Arial" w:eastAsia="Arial" w:hAnsi="Arial" w:cs="Arial"/>
          <w:lang w:val="en-US"/>
        </w:rPr>
      </w:pPr>
      <w:r w:rsidRPr="00037AD5">
        <w:rPr>
          <w:rFonts w:ascii="Arial" w:eastAsia="Arial" w:hAnsi="Arial" w:cs="Arial"/>
          <w:lang w:val="en-US"/>
        </w:rPr>
        <w:t xml:space="preserve">  8. Social and economic impact </w:t>
      </w:r>
    </w:p>
    <w:p w14:paraId="2EA12F37" w14:textId="77777777" w:rsidR="00134B9E" w:rsidRPr="00037AD5" w:rsidRDefault="00EC6124">
      <w:pPr>
        <w:spacing w:after="0"/>
        <w:ind w:firstLine="720"/>
        <w:rPr>
          <w:rFonts w:ascii="Arial" w:eastAsia="Arial" w:hAnsi="Arial" w:cs="Arial"/>
          <w:lang w:val="en-US"/>
        </w:rPr>
      </w:pPr>
      <w:r w:rsidRPr="00037AD5">
        <w:rPr>
          <w:rFonts w:ascii="Arial" w:eastAsia="Arial" w:hAnsi="Arial" w:cs="Arial"/>
          <w:lang w:val="en-US"/>
        </w:rPr>
        <w:t xml:space="preserve">  9. Specific conditions for the execution of certain projects</w:t>
      </w:r>
    </w:p>
    <w:p w14:paraId="789D2965" w14:textId="77777777" w:rsidR="00134B9E" w:rsidRPr="00037AD5" w:rsidRDefault="00EC6124">
      <w:pPr>
        <w:spacing w:after="0"/>
        <w:ind w:firstLine="720"/>
        <w:rPr>
          <w:rFonts w:ascii="Arial" w:eastAsia="Arial" w:hAnsi="Arial" w:cs="Arial"/>
          <w:lang w:val="en-US"/>
        </w:rPr>
      </w:pPr>
      <w:r w:rsidRPr="00037AD5">
        <w:rPr>
          <w:rFonts w:ascii="Arial" w:eastAsia="Arial" w:hAnsi="Arial" w:cs="Arial"/>
          <w:lang w:val="en-US"/>
        </w:rPr>
        <w:t>10. References</w:t>
      </w:r>
    </w:p>
    <w:p w14:paraId="4049EE6B" w14:textId="77777777" w:rsidR="00134B9E" w:rsidRPr="00037AD5" w:rsidRDefault="00EC6124">
      <w:pPr>
        <w:spacing w:after="0"/>
        <w:ind w:firstLine="720"/>
        <w:rPr>
          <w:rFonts w:ascii="Arial" w:eastAsia="Arial" w:hAnsi="Arial" w:cs="Arial"/>
          <w:lang w:val="en-US"/>
        </w:rPr>
      </w:pPr>
      <w:r w:rsidRPr="00037AD5">
        <w:rPr>
          <w:rFonts w:ascii="Arial" w:eastAsia="Arial" w:hAnsi="Arial" w:cs="Arial"/>
          <w:lang w:val="en-US"/>
        </w:rPr>
        <w:t>11. Letters of support</w:t>
      </w:r>
    </w:p>
    <w:p w14:paraId="5F364C38" w14:textId="77777777" w:rsidR="00EC6124" w:rsidRPr="00037AD5" w:rsidRDefault="00EC6124">
      <w:pPr>
        <w:spacing w:after="0"/>
        <w:ind w:firstLine="720"/>
        <w:rPr>
          <w:rFonts w:ascii="Arial" w:eastAsia="Arial" w:hAnsi="Arial" w:cs="Arial"/>
          <w:lang w:val="en-US"/>
        </w:rPr>
      </w:pPr>
    </w:p>
    <w:p w14:paraId="6F4C59E8" w14:textId="77777777" w:rsidR="00134B9E" w:rsidRPr="00037AD5" w:rsidRDefault="00EC6124">
      <w:pPr>
        <w:pStyle w:val="Ttulo1"/>
        <w:spacing w:before="0" w:line="240" w:lineRule="auto"/>
        <w:rPr>
          <w:lang w:val="en-US"/>
        </w:rPr>
      </w:pPr>
      <w:r w:rsidRPr="00037AD5">
        <w:rPr>
          <w:rFonts w:ascii="Arial" w:eastAsia="Arial" w:hAnsi="Arial" w:cs="Arial"/>
          <w:b/>
          <w:color w:val="000000"/>
          <w:sz w:val="22"/>
          <w:szCs w:val="22"/>
          <w:lang w:val="en-US"/>
        </w:rPr>
        <w:lastRenderedPageBreak/>
        <w:t xml:space="preserve">3. Antecedentes, estado actual del tema y justificación de la propuesta – State of the art, current knowledge and justification of the proposal  </w:t>
      </w:r>
    </w:p>
    <w:p w14:paraId="5F220DB8"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In 1963, Radii Gurzhi [GUR63]</w:t>
      </w:r>
      <w:r>
        <w:rPr>
          <w:rFonts w:ascii="Arial" w:eastAsia="Arial" w:hAnsi="Arial" w:cs="Arial"/>
          <w:vertAlign w:val="superscript"/>
        </w:rPr>
        <w:footnoteReference w:id="1"/>
      </w:r>
      <w:r w:rsidRPr="00037AD5">
        <w:rPr>
          <w:rFonts w:ascii="Arial" w:eastAsia="Arial" w:hAnsi="Arial" w:cs="Arial"/>
          <w:lang w:val="en-US"/>
        </w:rPr>
        <w:t xml:space="preserve"> predicted that for electrons to exhibit collective hydrodynamic motion, the conservation of total momentum within the electron fluid is essential. Reaching this regime demands that the electron-electron scattering length be the smallest among all relevant length scales, significantly shorter than those associated with electron-phonon or electron-defect interactions. Despite extensive theoretical interest, experimental access to this hydrodynamic behavior remained limited for decades. The landscape has shifted in recent years, thanks to the emergence of high-quality electronic systems, such as graphene encapsulated in hexagonal boron nitride (hBN) heterostructures [POL20, NAR22].</w:t>
      </w:r>
    </w:p>
    <w:p w14:paraId="3875302C"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Graphene embedded between two hBN layers has become an ideal platform for observing electron hydrodynamics, as this configuration minimizes disorder and flattens the graphene sheet, thereby greatly enhancing its electronic performance [KRE14]. Additionally, the implementation of graphite back gates marked a significant improvement in the quality of graphene-based devices [ZIB17]. Yet, even with such advancements, early experiments failed to detect clear signs of hydrodynamic behavior. A significant breakthrough came in 2016 with the work of Bandurin </w:t>
      </w:r>
      <w:r w:rsidRPr="00037AD5">
        <w:rPr>
          <w:rFonts w:ascii="Arial" w:eastAsia="Arial" w:hAnsi="Arial" w:cs="Arial"/>
          <w:i/>
          <w:lang w:val="en-US"/>
        </w:rPr>
        <w:t>et al</w:t>
      </w:r>
      <w:r w:rsidRPr="00037AD5">
        <w:rPr>
          <w:rFonts w:ascii="Arial" w:eastAsia="Arial" w:hAnsi="Arial" w:cs="Arial"/>
          <w:lang w:val="en-US"/>
        </w:rPr>
        <w:t>. [BAN16]. In the Navier-Stokes framework, often used to describe hydrodynamic electron flow, the kinematic viscosity appears as the coefficient of the second spatial derivative of velocity [BER19]. In conventional Hall-bar setups, unless there is notable momentum dissipation at the edges, the flow tends to remain nearly uniform across the width, resulting in minimal velocity gradients. Since the viscosity term contributes in proportion to the gradient, its effect, and therefore its experimental signature, remains negligible. To amplify the role of viscosity, one must engineer a current flow with substantial spatial inhomogeneity.</w:t>
      </w:r>
    </w:p>
    <w:p w14:paraId="02C5EA25"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One of the simplest device geometries to induce a steep velocity gradient is the quantum point contact (QPC). Achieving ballistic transport and size quantization in graphene QPCs, however, has been challenging due to the requirement of nearly flawless edges. Our consortium has addressed this challenge by developing a cryo-etching technique that enables the fabrication of graphene QPCs with ultra-smooth edges. This advancement led to nearly ideal ballistic transport and clear signatures of size quantization [CLE19]. For a long time, it was widely believed that ballistic conductance in a disorder-free sample represented the ultimate limit. However, this assumption was overturned when Kumar </w:t>
      </w:r>
      <w:r w:rsidRPr="00037AD5">
        <w:rPr>
          <w:rFonts w:ascii="Arial" w:eastAsia="Arial" w:hAnsi="Arial" w:cs="Arial"/>
          <w:i/>
          <w:lang w:val="en-US"/>
        </w:rPr>
        <w:t>et al</w:t>
      </w:r>
      <w:r w:rsidRPr="00037AD5">
        <w:rPr>
          <w:rFonts w:ascii="Arial" w:eastAsia="Arial" w:hAnsi="Arial" w:cs="Arial"/>
          <w:lang w:val="en-US"/>
        </w:rPr>
        <w:t>. raised the temperature to exit the ballistic regime and observed viscous electron flow, marking the first precise detection of hydrodynamic transport in a quantum device [KUM17].</w:t>
      </w:r>
    </w:p>
    <w:p w14:paraId="7DB43EF7"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To further enhance viscous flow in graphene systems, special attention must be given to device boundaries. In classical fluid dynamics, boundaries primarily affect flow through viscosity-dependent conditions. But in electronic systems, the interaction between the electron fluid and the device edge is crucial. Recently, our collaborator Alex Hamilton's group in Sydney provided compelling evidence of boundary-controlled hydrodynamics in a 2D electron gas within GaAs quantum wells [KES21]. They introduced a novel device design featuring crenellated channels, which suppress quasi-ballistic transport while leaving viscous flow largely intact, thereby facilitating access to the hydrodynamic regime. This year, stemming from a joint work between the two sub-projects and framed in our coordinated grant PID2022-136285NB-C31/C32, </w:t>
      </w:r>
      <w:r w:rsidRPr="00037AD5">
        <w:rPr>
          <w:rFonts w:ascii="Arial" w:eastAsia="Arial" w:hAnsi="Arial" w:cs="Arial"/>
          <w:b/>
          <w:lang w:val="en-US"/>
        </w:rPr>
        <w:t>we have demonstrated that, to enhance current inhomogeneity, crucial for observing hydrodynamic effects, graphene hetero- structures patterned into an antidot array significantly outperforms crenellated and QPC-like samples</w:t>
      </w:r>
      <w:r w:rsidRPr="00037AD5">
        <w:rPr>
          <w:rFonts w:ascii="Arial" w:eastAsia="Arial" w:hAnsi="Arial" w:cs="Arial"/>
          <w:lang w:val="en-US"/>
        </w:rPr>
        <w:t xml:space="preserve"> [EST25a].  We systematically measured their electrical response across a range of temperatures and under perpendicular magnetic fields, revealing a pronounced superballistic effect that underscores the effectiveness of the antidot geometry in redirecting and constraining electron trajectories. These findings establish the antidot superlattice as a powerful platform for realizing electron </w:t>
      </w:r>
      <w:r w:rsidRPr="00037AD5">
        <w:rPr>
          <w:rFonts w:ascii="Arial" w:eastAsia="Arial" w:hAnsi="Arial" w:cs="Arial"/>
          <w:lang w:val="en-US"/>
        </w:rPr>
        <w:lastRenderedPageBreak/>
        <w:t>hydrodynamics and offer new insights into the fundamental and applied aspects of superballistic conduction.</w:t>
      </w:r>
    </w:p>
    <w:p w14:paraId="06E08C69"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Only in the last few years has Terahertz (THz) detection within the hydrodynamic regime attracted significant attention [KRA25]. However, it has so far been limited to the use of QPCs to induce hydrodynamic electron flow. It has been demonstrated that Dirac electrons exposed to continuous-wave THz radiation can become thermally decoupled from the lattice, resulting in a decrease in resistance (Gurzhi effect) due to THz-induced superballistic flow of correlated electrons. The development of THz detection at room temperature remains one of the most promising frontiers in condensed matter physics involving exfoliable 2D materials [LUD24]. In this field, SP1 has established a world-leading position [DEL22], demonstrating strong plasmonic rectification in asymmetric dual-gated graphene-based field-effect transistors (G-FETs). This breakthrough offers a new route to enhance responsivity, paving the way toward record-setting performance in graphene-based THz nanophotodetectors.</w:t>
      </w:r>
    </w:p>
    <w:p w14:paraId="6F775A4E"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In this project, we aim to harness our expertise in electron hydrodynamics and terahertz (THz) detection to </w:t>
      </w:r>
      <w:r w:rsidRPr="00037AD5">
        <w:rPr>
          <w:rFonts w:ascii="Arial" w:eastAsia="Arial" w:hAnsi="Arial" w:cs="Arial"/>
          <w:b/>
          <w:lang w:val="en-US"/>
        </w:rPr>
        <w:t>design and fabricate fully functional G-FETs and voltage rectifiers</w:t>
      </w:r>
      <w:r w:rsidRPr="00037AD5">
        <w:rPr>
          <w:rFonts w:ascii="Arial" w:eastAsia="Arial" w:hAnsi="Arial" w:cs="Arial"/>
          <w:lang w:val="en-US"/>
        </w:rPr>
        <w:t xml:space="preserve">. These devices are anticipated to reach response times on the order of picoseconds. Beyond their fundamental implications, our results will showcase the practical potential of electron hydrodynamics for the development of next-generation THz detectors. To evaluate the scalability of this approach, we will investigate not only exfoliated 2D materials such as graphene and hBN but also their chemical vapor deposited (CVD) counterparts [ASG21], demonstrating the </w:t>
      </w:r>
      <w:r w:rsidRPr="00037AD5">
        <w:rPr>
          <w:rFonts w:ascii="Arial" w:eastAsia="Arial" w:hAnsi="Arial" w:cs="Arial"/>
          <w:b/>
          <w:lang w:val="en-US"/>
        </w:rPr>
        <w:t>feasibility of scalable, large-area heterostructures for THz detection based on layered materials</w:t>
      </w:r>
      <w:r w:rsidRPr="00037AD5">
        <w:rPr>
          <w:rFonts w:ascii="Arial" w:eastAsia="Arial" w:hAnsi="Arial" w:cs="Arial"/>
          <w:lang w:val="en-US"/>
        </w:rPr>
        <w:t>.</w:t>
      </w:r>
    </w:p>
    <w:p w14:paraId="50D04B16"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Furthermore, our theoretical analysis of electron transport in the hydrodynamic regime within graphene channels indicates the possibility of obtaining strongly </w:t>
      </w:r>
      <w:r w:rsidRPr="00037AD5">
        <w:rPr>
          <w:rFonts w:ascii="Arial" w:eastAsia="Arial" w:hAnsi="Arial" w:cs="Arial"/>
          <w:b/>
          <w:lang w:val="en-US"/>
        </w:rPr>
        <w:t>non-linear current–voltage</w:t>
      </w:r>
      <w:r w:rsidRPr="00037AD5">
        <w:rPr>
          <w:rFonts w:ascii="Arial" w:eastAsia="Arial" w:hAnsi="Arial" w:cs="Arial"/>
          <w:lang w:val="en-US"/>
        </w:rPr>
        <w:t xml:space="preserve"> (I–V) characteristics [EST24b]. Under appropriate conditions, these channels may exhibit negative differential resistance, akin to that observed in tunnel diodes. However, in this case, the effect arises from a collective electron response and is not related to resonant tunneling phenomena. This non-linear behavior prompts for the exploitation of regimes where a substantial increase in current through the channel results in only a minimal change in the voltage drop. In this project, we propose to investigate the feasibility of harnessing this effect to design </w:t>
      </w:r>
      <w:r w:rsidRPr="00037AD5">
        <w:rPr>
          <w:rFonts w:ascii="Arial" w:eastAsia="Arial" w:hAnsi="Arial" w:cs="Arial"/>
          <w:b/>
          <w:lang w:val="en-US"/>
        </w:rPr>
        <w:t>graphene-based voltage rectifiers</w:t>
      </w:r>
      <w:r w:rsidRPr="00037AD5">
        <w:rPr>
          <w:rFonts w:ascii="Arial" w:eastAsia="Arial" w:hAnsi="Arial" w:cs="Arial"/>
          <w:lang w:val="en-US"/>
        </w:rPr>
        <w:t>.</w:t>
      </w:r>
    </w:p>
    <w:p w14:paraId="61DD626F"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Patent applications based on the hydrodynamic behavior of electrons are currently very rare worldwide (</w:t>
      </w:r>
      <w:hyperlink r:id="rId8">
        <w:r w:rsidRPr="00037AD5">
          <w:rPr>
            <w:rFonts w:ascii="Arial" w:eastAsia="Arial" w:hAnsi="Arial" w:cs="Arial"/>
            <w:color w:val="1155CC"/>
            <w:u w:val="single"/>
            <w:lang w:val="en-US"/>
          </w:rPr>
          <w:t>https://patents.google.com/patent/US8878150B2/en</w:t>
        </w:r>
      </w:hyperlink>
      <w:r w:rsidRPr="00037AD5">
        <w:rPr>
          <w:rFonts w:ascii="Arial" w:eastAsia="Arial" w:hAnsi="Arial" w:cs="Arial"/>
          <w:lang w:val="en-US"/>
        </w:rPr>
        <w:t>). Although this field of research is promising, it remains in an early stage when it comes to practical applications and intellectual property protection. To the best of our knowledge, there are no existing patents that are directly related to the fundamental principles of the two devices we intend to develop. This indicates that our concepts are not only original but also hold significant potential for technological innovation and scientific advancement. The Technology Readiness Level (TRL) we aim to reach are 4 for the first device and 3 for the second one, as discussed later in Section 4 of this proposal.</w:t>
      </w:r>
    </w:p>
    <w:p w14:paraId="05161531"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b/>
          <w:lang w:val="en-US"/>
        </w:rPr>
        <w:t>This proposal builds directly upon the coordinated project PID2022-136285NB</w:t>
      </w:r>
      <w:r w:rsidRPr="00037AD5">
        <w:rPr>
          <w:rFonts w:ascii="Arial" w:eastAsia="Arial" w:hAnsi="Arial" w:cs="Arial"/>
          <w:lang w:val="en-US"/>
        </w:rPr>
        <w:t>, continuing the successful collaboration between the University of Salamanca (USAL) and the Complutense University of Madrid (UCM). Reference [EST25a] reports on the consortium's latest main joint achievements in the field of electron hydrodynamics in 2D materials. However, in this new proposal, the ICMM node led by Dr. Jorge Quereda will not be involved (subproject 3 of the above-mentioned coordinated project). While Dr. Quereda’s expertise in photocurrent spectroscopy and TMD-based materials was valuable in the former context, it falls outside the scope of this new proposal, which is centered on graphene-based hydrodynamic electronics and plasmonics as well as THz detection. As such, his participation would not add value to the current objectives.</w:t>
      </w:r>
    </w:p>
    <w:p w14:paraId="3B37BC9D"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lastRenderedPageBreak/>
        <w:t>The scientific and technological scope of this project is now more experimentally driven, making USAL the most suitable institution to assume the coordination role. USAL will lead all experimental activities, including the design, fabrication, and characterization of G-FETs for the THs range. This encompasses nanostructuring (e.g., antidot superlattices), electrical measurements, and THz response characterization, all of which will be carried out in the laboratories at USAL.</w:t>
      </w:r>
    </w:p>
    <w:p w14:paraId="644B9545"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Meanwhile, UCM will lead the theoretical modeling and computational studies, providing essential guidance on the optimal device architectures and hydrodynamic regimes to be targeted. This close integration between experimental execution at USAL and theoretical support from UCM is central to the project’s success, and further underscores the need for USAL to take the lead in coordinating this proposal.</w:t>
      </w:r>
    </w:p>
    <w:p w14:paraId="42AA67C9" w14:textId="77777777" w:rsidR="00134B9E" w:rsidRPr="00037AD5" w:rsidRDefault="00EC6124">
      <w:pPr>
        <w:pStyle w:val="Ttulo1"/>
        <w:spacing w:before="0" w:line="240" w:lineRule="auto"/>
        <w:rPr>
          <w:rFonts w:ascii="Arial" w:eastAsia="Arial" w:hAnsi="Arial" w:cs="Arial"/>
          <w:b/>
          <w:color w:val="000000"/>
          <w:sz w:val="22"/>
          <w:szCs w:val="22"/>
          <w:lang w:val="en-US"/>
        </w:rPr>
      </w:pPr>
      <w:r w:rsidRPr="00037AD5">
        <w:rPr>
          <w:rFonts w:ascii="Arial" w:eastAsia="Arial" w:hAnsi="Arial" w:cs="Arial"/>
          <w:b/>
          <w:color w:val="000000"/>
          <w:sz w:val="22"/>
          <w:szCs w:val="22"/>
          <w:lang w:val="en-US"/>
        </w:rPr>
        <w:t>4. Objetivos -– Objectives</w:t>
      </w:r>
    </w:p>
    <w:p w14:paraId="1E5C5D31" w14:textId="77777777" w:rsidR="00134B9E" w:rsidRPr="00037AD5" w:rsidRDefault="00134B9E">
      <w:pPr>
        <w:spacing w:after="100" w:line="240" w:lineRule="auto"/>
        <w:jc w:val="both"/>
        <w:rPr>
          <w:rFonts w:ascii="Arial" w:eastAsia="Arial" w:hAnsi="Arial" w:cs="Arial"/>
          <w:b/>
          <w:lang w:val="en-US"/>
        </w:rPr>
      </w:pPr>
    </w:p>
    <w:p w14:paraId="586FEC1A"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In this proposal, we present the proof of concept for two electronic devices that exploit the hydrodynamic regime of electron transport for their operation. Our proposal is closely tied to the findings emerging from project PID2022-136285NB, many of which have already been published in references [EST24a], [EST24b], [EST25a], [EST25b], [EST25c], and [EST25d]. A layman's introduction to our work in electron hydrodynamics is available in reference [EST24c] as part of the outreach activities of the above-mentioned project.</w:t>
      </w:r>
    </w:p>
    <w:p w14:paraId="58C19057"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The first proposed device is a G-FETs with an antidot superlattice and integrated antennas for THz detection. Based on our current knowledge [EST25a] and the facilities available to us, the </w:t>
      </w:r>
      <w:r w:rsidRPr="00037AD5">
        <w:rPr>
          <w:rFonts w:ascii="Arial" w:eastAsia="Arial" w:hAnsi="Arial" w:cs="Arial"/>
          <w:b/>
          <w:lang w:val="en-US"/>
        </w:rPr>
        <w:t>likelihood of achieving a TRL of 4 is very high</w:t>
      </w:r>
      <w:r w:rsidRPr="00037AD5">
        <w:rPr>
          <w:rFonts w:ascii="Arial" w:eastAsia="Arial" w:hAnsi="Arial" w:cs="Arial"/>
          <w:lang w:val="en-US"/>
        </w:rPr>
        <w:t xml:space="preserve">. This device constitutes the core of Work Package 1 (WP1). Additionally, we propose a device presenting non-linear I-V characteristics in the hydrodynamic regime. Although the theoretical background of this regime is well understood [EST24b], there are practical challenges that must be addressed. For example, the need to operate with higher electrical currents than those typically used in our laboratory, which is usually limited to a few </w:t>
      </w:r>
      <w:r>
        <w:rPr>
          <w:rFonts w:ascii="Arial" w:eastAsia="Arial" w:hAnsi="Arial" w:cs="Arial"/>
        </w:rPr>
        <w:t>𝜇</w:t>
      </w:r>
      <w:r w:rsidRPr="00037AD5">
        <w:rPr>
          <w:rFonts w:ascii="Arial" w:eastAsia="Arial" w:hAnsi="Arial" w:cs="Arial"/>
          <w:lang w:val="en-US"/>
        </w:rPr>
        <w:t>A. In this regard, achieving a TRL of 3 would be considered a remarkable success. WP2 encompasses all the steps necessary to reach the targeted technological maturity for this second device. Finally, data management, dissemination, and transfer activities are collected in WP3.</w:t>
      </w:r>
    </w:p>
    <w:p w14:paraId="14CB2CDB" w14:textId="77777777" w:rsidR="00134B9E" w:rsidRPr="00037AD5" w:rsidRDefault="00134B9E">
      <w:pPr>
        <w:spacing w:after="100" w:line="240" w:lineRule="auto"/>
        <w:jc w:val="both"/>
        <w:rPr>
          <w:rFonts w:ascii="Arial" w:eastAsia="Arial" w:hAnsi="Arial" w:cs="Arial"/>
          <w:lang w:val="en-US"/>
        </w:rPr>
      </w:pPr>
    </w:p>
    <w:p w14:paraId="51847977" w14:textId="77777777" w:rsidR="00134B9E" w:rsidRPr="00037AD5" w:rsidRDefault="00EC6124">
      <w:pPr>
        <w:spacing w:after="100" w:line="240" w:lineRule="auto"/>
        <w:jc w:val="both"/>
        <w:rPr>
          <w:rFonts w:ascii="Arial" w:eastAsia="Arial" w:hAnsi="Arial" w:cs="Arial"/>
          <w:b/>
          <w:lang w:val="en-US"/>
        </w:rPr>
      </w:pPr>
      <w:r w:rsidRPr="00037AD5">
        <w:rPr>
          <w:rFonts w:ascii="Arial" w:eastAsia="Arial" w:hAnsi="Arial" w:cs="Arial"/>
          <w:b/>
          <w:lang w:val="en-US"/>
        </w:rPr>
        <w:t>WP1.- G-TeraFETs with an antidot superlattice and integrated antennas for THz detection</w:t>
      </w:r>
    </w:p>
    <w:p w14:paraId="6234B500" w14:textId="77777777" w:rsidR="00134B9E" w:rsidRPr="00037AD5" w:rsidRDefault="00EC6124">
      <w:pPr>
        <w:spacing w:before="240" w:after="240" w:line="240" w:lineRule="auto"/>
        <w:jc w:val="both"/>
        <w:rPr>
          <w:rFonts w:ascii="Arial" w:eastAsia="Arial" w:hAnsi="Arial" w:cs="Arial"/>
          <w:color w:val="222222"/>
          <w:highlight w:val="white"/>
          <w:lang w:val="en-US"/>
        </w:rPr>
      </w:pPr>
      <w:r w:rsidRPr="00037AD5">
        <w:rPr>
          <w:rFonts w:ascii="Arial" w:eastAsia="Arial" w:hAnsi="Arial" w:cs="Arial"/>
          <w:color w:val="222222"/>
          <w:highlight w:val="white"/>
          <w:lang w:val="en-US"/>
        </w:rPr>
        <w:t>Transistors based on the field-effect principle, integrated with on-chip antennas, are commonly known as TeraFETs. They are an emerging class of THz detectors targeting the 100 GHz to 10 THz frequency window. A particular subclass of graphene-based devices, referred to as G-TeraFETs, has attracted attention due to its unique photodetection characteristics, which differ substantially from conventional semiconductor counterparts. Specifically, they exhibit a dual response mechanism combining plasmonic oscillations and carrier thermalization [LUD24]. Recent advances in observing hydrodynamic plasmons in graphene [ZHA23] have sparked new design strategies aimed at boosting the performance of G-TeraFETs.</w:t>
      </w:r>
    </w:p>
    <w:p w14:paraId="1B10BAFC" w14:textId="77777777" w:rsidR="00134B9E" w:rsidRPr="00037AD5" w:rsidRDefault="00EC6124">
      <w:pPr>
        <w:spacing w:before="240" w:after="240" w:line="240" w:lineRule="auto"/>
        <w:jc w:val="both"/>
        <w:rPr>
          <w:rFonts w:ascii="Arial" w:eastAsia="Arial" w:hAnsi="Arial" w:cs="Arial"/>
          <w:color w:val="222222"/>
          <w:highlight w:val="white"/>
          <w:lang w:val="en-US"/>
        </w:rPr>
      </w:pPr>
      <w:r w:rsidRPr="00037AD5">
        <w:rPr>
          <w:rFonts w:ascii="Arial" w:eastAsia="Arial" w:hAnsi="Arial" w:cs="Arial"/>
          <w:color w:val="222222"/>
          <w:highlight w:val="white"/>
          <w:lang w:val="en-US"/>
        </w:rPr>
        <w:t xml:space="preserve">The USAL-Nanolab Nanotechnology group has been developing, fabricating, and analyzing G-TeraFETs over several years, drawing foundational insight from Dyakonov and Shur’s pioneering work [DYA93], and achieving notable performance levels at ambient conditions [DEL21]. These results are reflected in recent comparative reviews [LUD24, see Table 1]. Building on this foundation, we have introduced a novel approach to enhance the hydrodynamic behavior of graphene by implementing a 100 nm antidot superlattice structure. (see Figure 1). Electron flow also undergoes major changes in its transport properties as a function of frequency [BAR23,EST25a], not explored in [KRA25]. For our antidot sizes, the changes occur within the range of THz. Kinetic models can be generalized to the high-frequency domain, and panels (e)-(g) of Figure 1 depict some preliminary calculations, </w:t>
      </w:r>
      <w:r w:rsidRPr="00037AD5">
        <w:rPr>
          <w:rFonts w:ascii="Arial" w:eastAsia="Arial" w:hAnsi="Arial" w:cs="Arial"/>
          <w:color w:val="222222"/>
          <w:highlight w:val="white"/>
          <w:lang w:val="en-US"/>
        </w:rPr>
        <w:lastRenderedPageBreak/>
        <w:t>specifically for the additional size-dependent hydrodynamic effect. Indeed, the use of superlattice structures will be a cornerstone of the new G-TeraFET generation we aim to produce in WP1, and a foundational milestone in this proof-of-concept research grant, as we seek to understand how innovative engineered materials enable the exploitation of</w:t>
      </w:r>
      <w:r w:rsidRPr="00037AD5">
        <w:rPr>
          <w:rFonts w:ascii="Arial" w:eastAsia="Arial" w:hAnsi="Arial" w:cs="Arial"/>
          <w:b/>
          <w:color w:val="222222"/>
          <w:highlight w:val="white"/>
          <w:lang w:val="en-US"/>
        </w:rPr>
        <w:t xml:space="preserve"> hydrodynamic plasmonic phenomena</w:t>
      </w:r>
      <w:r w:rsidRPr="00037AD5">
        <w:rPr>
          <w:rFonts w:ascii="Arial" w:eastAsia="Arial" w:hAnsi="Arial" w:cs="Arial"/>
          <w:color w:val="222222"/>
          <w:highlight w:val="white"/>
          <w:lang w:val="en-US"/>
        </w:rPr>
        <w:t>.</w:t>
      </w:r>
    </w:p>
    <w:p w14:paraId="6BE2244B" w14:textId="77777777" w:rsidR="00134B9E" w:rsidRPr="00037AD5" w:rsidRDefault="00EC6124">
      <w:pPr>
        <w:spacing w:before="240" w:after="240" w:line="240" w:lineRule="auto"/>
        <w:jc w:val="both"/>
        <w:rPr>
          <w:rFonts w:ascii="Arial" w:eastAsia="Arial" w:hAnsi="Arial" w:cs="Arial"/>
          <w:color w:val="222222"/>
          <w:highlight w:val="white"/>
          <w:lang w:val="en-US"/>
        </w:rPr>
      </w:pPr>
      <w:r w:rsidRPr="00037AD5">
        <w:rPr>
          <w:rFonts w:ascii="Arial" w:eastAsia="Arial" w:hAnsi="Arial" w:cs="Arial"/>
          <w:color w:val="222222"/>
          <w:highlight w:val="white"/>
          <w:lang w:val="en-US"/>
        </w:rPr>
        <w:t xml:space="preserve">Parallel research by Denis Bandurin </w:t>
      </w:r>
      <w:r w:rsidRPr="00037AD5">
        <w:rPr>
          <w:rFonts w:ascii="Arial" w:eastAsia="Arial" w:hAnsi="Arial" w:cs="Arial"/>
          <w:i/>
          <w:color w:val="222222"/>
          <w:highlight w:val="white"/>
          <w:lang w:val="en-US"/>
        </w:rPr>
        <w:t>et al</w:t>
      </w:r>
      <w:r w:rsidRPr="00037AD5">
        <w:rPr>
          <w:rFonts w:ascii="Arial" w:eastAsia="Arial" w:hAnsi="Arial" w:cs="Arial"/>
          <w:color w:val="222222"/>
          <w:highlight w:val="white"/>
          <w:lang w:val="en-US"/>
        </w:rPr>
        <w:t>. at the National University of Singapore has demonstrated THz-induced superballistic electron transport in graphene nano-constrictions [KRA25]. Compared to their results, our antidot array achieves a higher superballistic response [EST25a], exceeding the performance of previous nanoconstriction-based designs [KUM17]. We therefore anticipate that our devices will more effectively harness hydrodynamic plasmons for high-sensitivity THz detection. Henceforth, the antidot structure will be laid as the building block for the fabrication of next-generation THz detectors.</w:t>
      </w:r>
    </w:p>
    <w:p w14:paraId="5D974DC7" w14:textId="77777777" w:rsidR="00134B9E" w:rsidRDefault="00EC6124">
      <w:pPr>
        <w:spacing w:after="100" w:line="240" w:lineRule="auto"/>
        <w:jc w:val="center"/>
        <w:rPr>
          <w:rFonts w:ascii="Arial" w:eastAsia="Arial" w:hAnsi="Arial" w:cs="Arial"/>
          <w:color w:val="222222"/>
          <w:highlight w:val="white"/>
        </w:rPr>
      </w:pPr>
      <w:r>
        <w:rPr>
          <w:rFonts w:ascii="Arial" w:eastAsia="Arial" w:hAnsi="Arial" w:cs="Arial"/>
          <w:b/>
          <w:noProof/>
          <w:lang w:val="en-US"/>
        </w:rPr>
        <w:drawing>
          <wp:inline distT="114300" distB="114300" distL="114300" distR="114300" wp14:anchorId="7B891BE6" wp14:editId="56003539">
            <wp:extent cx="5418300" cy="3301930"/>
            <wp:effectExtent l="0" t="0" r="0" b="0"/>
            <wp:docPr id="179467209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9"/>
                    <a:srcRect/>
                    <a:stretch>
                      <a:fillRect/>
                    </a:stretch>
                  </pic:blipFill>
                  <pic:spPr>
                    <a:xfrm>
                      <a:off x="0" y="0"/>
                      <a:ext cx="5418300" cy="3301930"/>
                    </a:xfrm>
                    <a:prstGeom prst="rect">
                      <a:avLst/>
                    </a:prstGeom>
                    <a:ln/>
                  </pic:spPr>
                </pic:pic>
              </a:graphicData>
            </a:graphic>
          </wp:inline>
        </w:drawing>
      </w:r>
    </w:p>
    <w:p w14:paraId="108FA0F0" w14:textId="77777777" w:rsidR="00134B9E" w:rsidRPr="00037AD5" w:rsidRDefault="00EC6124">
      <w:pPr>
        <w:spacing w:after="100" w:line="240" w:lineRule="auto"/>
        <w:jc w:val="both"/>
        <w:rPr>
          <w:rFonts w:ascii="Arial" w:eastAsia="Arial" w:hAnsi="Arial" w:cs="Arial"/>
          <w:color w:val="231F20"/>
          <w:lang w:val="en-US"/>
        </w:rPr>
      </w:pPr>
      <w:r w:rsidRPr="00037AD5">
        <w:rPr>
          <w:rFonts w:ascii="Arial" w:eastAsia="Arial" w:hAnsi="Arial" w:cs="Arial"/>
          <w:b/>
          <w:sz w:val="18"/>
          <w:szCs w:val="18"/>
          <w:lang w:val="en-US"/>
        </w:rPr>
        <w:t>Figure 1</w:t>
      </w:r>
      <w:r w:rsidRPr="00037AD5">
        <w:rPr>
          <w:rFonts w:ascii="Arial" w:eastAsia="Arial" w:hAnsi="Arial" w:cs="Arial"/>
          <w:sz w:val="18"/>
          <w:szCs w:val="18"/>
          <w:lang w:val="en-US"/>
        </w:rPr>
        <w:t xml:space="preserve">: Graphene antidot superlattices. (a)-(c) Optical and SEM micrographs of the </w:t>
      </w:r>
      <w:r w:rsidRPr="00037AD5">
        <w:rPr>
          <w:rFonts w:ascii="Arial" w:eastAsia="Arial" w:hAnsi="Arial" w:cs="Arial"/>
          <w:color w:val="231F20"/>
          <w:sz w:val="18"/>
          <w:szCs w:val="18"/>
          <w:lang w:val="en-US"/>
        </w:rPr>
        <w:t>graphene antidot superlattice.</w:t>
      </w:r>
      <w:r w:rsidRPr="00037AD5">
        <w:rPr>
          <w:rFonts w:ascii="Arial" w:eastAsia="Arial" w:hAnsi="Arial" w:cs="Arial"/>
          <w:sz w:val="18"/>
          <w:szCs w:val="18"/>
          <w:lang w:val="en-US"/>
        </w:rPr>
        <w:t xml:space="preserve"> </w:t>
      </w:r>
      <w:r w:rsidRPr="00037AD5">
        <w:rPr>
          <w:rFonts w:ascii="Arial" w:eastAsia="Arial" w:hAnsi="Arial" w:cs="Arial"/>
          <w:color w:val="231F20"/>
          <w:sz w:val="18"/>
          <w:szCs w:val="18"/>
          <w:lang w:val="en-US"/>
        </w:rPr>
        <w:t>Three regions can be found, where the antidot diameters are d = 100, 200, and 300 nm. (d) Stream flow in a periodic antidot superlattice, where colors account for the electric potential and streamlines are average electron trajectories, from reference [EST25a]. (e)-(g) Additional calculations of the THz impedance for two antidot sizes.</w:t>
      </w:r>
    </w:p>
    <w:p w14:paraId="711DE243" w14:textId="77777777" w:rsidR="00134B9E" w:rsidRPr="00037AD5" w:rsidRDefault="00134B9E">
      <w:pPr>
        <w:spacing w:after="100" w:line="240" w:lineRule="auto"/>
        <w:jc w:val="center"/>
        <w:rPr>
          <w:rFonts w:ascii="Arial" w:eastAsia="Arial" w:hAnsi="Arial" w:cs="Arial"/>
          <w:b/>
          <w:lang w:val="en-US"/>
        </w:rPr>
      </w:pPr>
    </w:p>
    <w:p w14:paraId="227E24B2" w14:textId="25F60CF5"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lang w:val="en-US"/>
        </w:rPr>
        <w:t xml:space="preserve">Activity 1.1 Gold and graphite antennas integration with antidot-superlattice G-TeraFETs (ASL-GTeraFET) – Fabrication and low-temperature characterization. </w:t>
      </w:r>
      <w:r w:rsidRPr="00037AD5">
        <w:rPr>
          <w:rFonts w:ascii="Arial" w:eastAsia="Arial" w:hAnsi="Arial" w:cs="Arial"/>
          <w:lang w:val="en-US"/>
        </w:rPr>
        <w:t>Led by PI1 of SP1 (E. Diez). Resea</w:t>
      </w:r>
      <w:r w:rsidR="00037AD5" w:rsidRPr="00037AD5">
        <w:rPr>
          <w:rFonts w:ascii="Arial" w:eastAsia="Arial" w:hAnsi="Arial" w:cs="Arial"/>
          <w:lang w:val="en-US"/>
        </w:rPr>
        <w:t>rch team: PI2 of SP1 (M. Amado)</w:t>
      </w:r>
      <w:r w:rsidR="00037AD5">
        <w:rPr>
          <w:rFonts w:ascii="Arial" w:eastAsia="Arial" w:hAnsi="Arial" w:cs="Arial"/>
          <w:lang w:val="en-US"/>
        </w:rPr>
        <w:t>.</w:t>
      </w:r>
      <w:r w:rsidRPr="00037AD5">
        <w:rPr>
          <w:rFonts w:ascii="Arial" w:eastAsia="Arial" w:hAnsi="Arial" w:cs="Arial"/>
          <w:lang w:val="en-US"/>
        </w:rPr>
        <w:t xml:space="preserve">. Work team: </w:t>
      </w:r>
      <w:r w:rsidR="00037AD5" w:rsidRPr="00037AD5">
        <w:rPr>
          <w:rFonts w:ascii="Arial" w:eastAsia="Arial" w:hAnsi="Arial" w:cs="Arial"/>
          <w:lang w:val="en-US"/>
        </w:rPr>
        <w:t>V. Clericò</w:t>
      </w:r>
      <w:r w:rsidR="00037AD5">
        <w:rPr>
          <w:rFonts w:ascii="Arial" w:eastAsia="Arial" w:hAnsi="Arial" w:cs="Arial"/>
          <w:lang w:val="en-US"/>
        </w:rPr>
        <w:t xml:space="preserve">, </w:t>
      </w:r>
      <w:r w:rsidRPr="00037AD5">
        <w:rPr>
          <w:rFonts w:ascii="Arial" w:eastAsia="Arial" w:hAnsi="Arial" w:cs="Arial"/>
          <w:lang w:val="en-US"/>
        </w:rPr>
        <w:t xml:space="preserve">P. Canteli, J. Gil, and E. Abidi. </w:t>
      </w:r>
    </w:p>
    <w:p w14:paraId="5C5279FC"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color w:val="222222"/>
          <w:highlight w:val="white"/>
          <w:lang w:val="en-US"/>
        </w:rPr>
        <w:t>Integrating antennas to enhance the coupling with the radiation is a significant area of interest for improving the responsiveness and the noise-equivalent power (NEP) of the devices. Our group has investigated different types of wideband antennas (bow-tie and log-periodic) and also resonance antennas (dual grating) with very good results [DEL22, CAR24, ABI24]. Some of our designs are shown in Figure 2(a). The main goal for this objective will be the fabrication of different antidot-superlattice G-TeraFETs (ASL-GTeraFETs) with antidot size from 50 nm to 300 nm, integrated with bow-tie or dual-grating antennas, and to combine both, as sketched in Figure 2(b).</w:t>
      </w:r>
      <w:r w:rsidRPr="00037AD5">
        <w:rPr>
          <w:rFonts w:ascii="Arial" w:eastAsia="Arial" w:hAnsi="Arial" w:cs="Arial"/>
          <w:lang w:val="en-US"/>
        </w:rPr>
        <w:t xml:space="preserve"> We will employ the THz-TDS system in USAL-Nanolab TERALAB, led by  Prof. Yahya Meziani, to extract the real and imaginary parts of the permittivity. We expect the best performance will be obtained by using a combination of a 90° bow-tie and a dual-grating, as we recently verified [ABI24] in standard G-TeraFETs. We will focus particularly on the study of different antidot superlattice sizes (from 50 to 300 nm) related to the THz detection </w:t>
      </w:r>
      <w:r w:rsidRPr="00037AD5">
        <w:rPr>
          <w:rFonts w:ascii="Arial" w:eastAsia="Arial" w:hAnsi="Arial" w:cs="Arial"/>
          <w:lang w:val="en-US"/>
        </w:rPr>
        <w:lastRenderedPageBreak/>
        <w:t>performance, trying to distinguish when the hydrodynamic plasmons are dominant and when we return to a mixture of plasmon and thermoelectric response as in standard G-TeraFETs.</w:t>
      </w:r>
    </w:p>
    <w:p w14:paraId="26A0949D" w14:textId="6835D8CF" w:rsidR="00134B9E" w:rsidRPr="00037AD5" w:rsidRDefault="00EC6124" w:rsidP="00EC6124">
      <w:pPr>
        <w:spacing w:before="140" w:line="240" w:lineRule="auto"/>
        <w:ind w:right="140"/>
        <w:jc w:val="center"/>
        <w:rPr>
          <w:rFonts w:ascii="Arial" w:eastAsia="Arial" w:hAnsi="Arial" w:cs="Arial"/>
          <w:color w:val="222222"/>
          <w:highlight w:val="white"/>
          <w:lang w:val="en-US"/>
        </w:rPr>
      </w:pPr>
      <w:r w:rsidRPr="00037AD5">
        <w:rPr>
          <w:rFonts w:ascii="Arial" w:eastAsia="Arial" w:hAnsi="Arial" w:cs="Arial"/>
          <w:color w:val="222222"/>
          <w:highlight w:val="white"/>
          <w:lang w:val="en-US"/>
        </w:rPr>
        <w:t xml:space="preserve"> </w:t>
      </w:r>
    </w:p>
    <w:p w14:paraId="7972101E" w14:textId="77777777" w:rsidR="00134B9E" w:rsidRDefault="00EC6124">
      <w:pPr>
        <w:spacing w:before="140" w:line="240" w:lineRule="auto"/>
        <w:ind w:right="140"/>
        <w:jc w:val="both"/>
        <w:rPr>
          <w:rFonts w:ascii="Arial" w:eastAsia="Arial" w:hAnsi="Arial" w:cs="Arial"/>
          <w:b/>
          <w:sz w:val="18"/>
          <w:szCs w:val="18"/>
        </w:rPr>
      </w:pPr>
      <w:r>
        <w:rPr>
          <w:rFonts w:ascii="Arial" w:eastAsia="Arial" w:hAnsi="Arial" w:cs="Arial"/>
          <w:b/>
          <w:noProof/>
          <w:sz w:val="18"/>
          <w:szCs w:val="18"/>
          <w:lang w:val="en-US"/>
        </w:rPr>
        <w:drawing>
          <wp:inline distT="114300" distB="114300" distL="114300" distR="114300" wp14:anchorId="6106B07C" wp14:editId="58AD6AA6">
            <wp:extent cx="5759140" cy="5334000"/>
            <wp:effectExtent l="0" t="0" r="0" b="0"/>
            <wp:docPr id="179467208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0"/>
                    <a:srcRect/>
                    <a:stretch>
                      <a:fillRect/>
                    </a:stretch>
                  </pic:blipFill>
                  <pic:spPr>
                    <a:xfrm>
                      <a:off x="0" y="0"/>
                      <a:ext cx="5759140" cy="5334000"/>
                    </a:xfrm>
                    <a:prstGeom prst="rect">
                      <a:avLst/>
                    </a:prstGeom>
                    <a:ln/>
                  </pic:spPr>
                </pic:pic>
              </a:graphicData>
            </a:graphic>
          </wp:inline>
        </w:drawing>
      </w:r>
    </w:p>
    <w:p w14:paraId="27E13ADF" w14:textId="77777777" w:rsidR="00134B9E" w:rsidRPr="00037AD5" w:rsidRDefault="00EC6124">
      <w:pPr>
        <w:spacing w:before="140" w:line="240" w:lineRule="auto"/>
        <w:ind w:right="140"/>
        <w:jc w:val="both"/>
        <w:rPr>
          <w:rFonts w:ascii="Arial" w:eastAsia="Arial" w:hAnsi="Arial" w:cs="Arial"/>
          <w:lang w:val="en-US"/>
        </w:rPr>
      </w:pPr>
      <w:r w:rsidRPr="00037AD5">
        <w:rPr>
          <w:rFonts w:ascii="Arial" w:eastAsia="Arial" w:hAnsi="Arial" w:cs="Arial"/>
          <w:b/>
          <w:sz w:val="18"/>
          <w:szCs w:val="18"/>
          <w:lang w:val="en-US"/>
        </w:rPr>
        <w:t>Figure 2</w:t>
      </w:r>
      <w:r w:rsidRPr="00037AD5">
        <w:rPr>
          <w:rFonts w:ascii="Arial" w:eastAsia="Arial" w:hAnsi="Arial" w:cs="Arial"/>
          <w:sz w:val="18"/>
          <w:szCs w:val="18"/>
          <w:lang w:val="en-US"/>
        </w:rPr>
        <w:t>: (a) Standard designs for antennas fabricated in our clean-room at Universidad de Salamanca that facilitate the absorption of incident THz radiation by the device. From references [DEL22] and [CAR24]. (b) Sketch of the proposed ASL-GTeraFET device.</w:t>
      </w:r>
    </w:p>
    <w:p w14:paraId="069C4D1D"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We will also fabricate dual-grating graphite antennas as an alternative to our standard procedure used in the group. This will reduce the last step of e-beam evaporation, simplifying the fabrication procedure, saving costs, and presumably improving the device performance. In addition, this technique could pave the way for a completely different method to design devices by electron gating, if we use bilayer graphene instead of monolayer graphene, as impressively demonstrated by Philip Kim and Amir Jacobi [WER25]. The idea is relatively simple and beautiful. By etching a top-gate layer of graphite, as shown in the schematic view of Figure 3, one can define antennas as we will do here. Additionally, you can confine the carriers along narrow trajectories, as Kim and Jacobi did in a different context, with a high potential for designing breakthrough hydrodynamic nanodevices.</w:t>
      </w:r>
    </w:p>
    <w:p w14:paraId="35470BAE" w14:textId="77777777" w:rsidR="00134B9E" w:rsidRDefault="00EC6124">
      <w:pPr>
        <w:spacing w:after="100" w:line="240" w:lineRule="auto"/>
        <w:jc w:val="center"/>
        <w:rPr>
          <w:rFonts w:ascii="Arial" w:eastAsia="Arial" w:hAnsi="Arial" w:cs="Arial"/>
        </w:rPr>
      </w:pPr>
      <w:r>
        <w:rPr>
          <w:rFonts w:ascii="Arial" w:eastAsia="Arial" w:hAnsi="Arial" w:cs="Arial"/>
          <w:noProof/>
          <w:lang w:val="en-US"/>
        </w:rPr>
        <w:lastRenderedPageBreak/>
        <w:drawing>
          <wp:inline distT="114300" distB="114300" distL="114300" distR="114300" wp14:anchorId="0FE147D6" wp14:editId="508D94F0">
            <wp:extent cx="3365663" cy="2355964"/>
            <wp:effectExtent l="0" t="0" r="0" b="0"/>
            <wp:docPr id="179467208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3365663" cy="2355964"/>
                    </a:xfrm>
                    <a:prstGeom prst="rect">
                      <a:avLst/>
                    </a:prstGeom>
                    <a:ln/>
                  </pic:spPr>
                </pic:pic>
              </a:graphicData>
            </a:graphic>
          </wp:inline>
        </w:drawing>
      </w:r>
    </w:p>
    <w:p w14:paraId="0197EA41" w14:textId="77777777" w:rsidR="00134B9E" w:rsidRPr="00037AD5" w:rsidRDefault="00EC6124">
      <w:pPr>
        <w:spacing w:before="140" w:line="240" w:lineRule="auto"/>
        <w:ind w:right="140"/>
        <w:jc w:val="both"/>
        <w:rPr>
          <w:rFonts w:ascii="Arial" w:eastAsia="Arial" w:hAnsi="Arial" w:cs="Arial"/>
          <w:b/>
          <w:lang w:val="en-US"/>
        </w:rPr>
      </w:pPr>
      <w:r w:rsidRPr="00037AD5">
        <w:rPr>
          <w:rFonts w:ascii="Arial" w:eastAsia="Arial" w:hAnsi="Arial" w:cs="Arial"/>
          <w:b/>
          <w:sz w:val="18"/>
          <w:szCs w:val="18"/>
          <w:lang w:val="en-US"/>
        </w:rPr>
        <w:t>Figure 3</w:t>
      </w:r>
      <w:r w:rsidRPr="00037AD5">
        <w:rPr>
          <w:rFonts w:ascii="Arial" w:eastAsia="Arial" w:hAnsi="Arial" w:cs="Arial"/>
          <w:sz w:val="18"/>
          <w:szCs w:val="18"/>
          <w:lang w:val="en-US"/>
        </w:rPr>
        <w:t xml:space="preserve">: Graphite top-gate etched to define different regions from reference [WER2025]. </w:t>
      </w:r>
    </w:p>
    <w:p w14:paraId="3C028380" w14:textId="77777777" w:rsidR="00134B9E" w:rsidRPr="00037AD5" w:rsidRDefault="00134B9E">
      <w:pPr>
        <w:spacing w:after="100" w:line="240" w:lineRule="auto"/>
        <w:jc w:val="both"/>
        <w:rPr>
          <w:rFonts w:ascii="Arial" w:eastAsia="Arial" w:hAnsi="Arial" w:cs="Arial"/>
          <w:b/>
          <w:lang w:val="en-US"/>
        </w:rPr>
      </w:pPr>
    </w:p>
    <w:p w14:paraId="477B8EB5" w14:textId="3519FCB4"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lang w:val="en-US"/>
        </w:rPr>
        <w:t>Activity 1.2</w:t>
      </w:r>
      <w:r w:rsidRPr="00037AD5">
        <w:rPr>
          <w:rFonts w:ascii="Arial" w:eastAsia="Arial" w:hAnsi="Arial" w:cs="Arial"/>
          <w:lang w:val="en-US"/>
        </w:rPr>
        <w:t xml:space="preserve"> </w:t>
      </w:r>
      <w:r w:rsidRPr="00037AD5">
        <w:rPr>
          <w:rFonts w:ascii="Arial" w:eastAsia="Arial" w:hAnsi="Arial" w:cs="Arial"/>
          <w:b/>
          <w:lang w:val="en-US"/>
        </w:rPr>
        <w:t>Detection of radiation from 0.1 to 5 THz with an ASL-GTeraFETs: From 10 K to room-temperature</w:t>
      </w:r>
      <w:r w:rsidRPr="00037AD5">
        <w:rPr>
          <w:rFonts w:ascii="Arial" w:eastAsia="Arial" w:hAnsi="Arial" w:cs="Arial"/>
          <w:lang w:val="en-US"/>
        </w:rPr>
        <w:t>. Led by PI2 of SP1 (M. Amado). Research Team: PI1 of SP1 (E. Diez), P</w:t>
      </w:r>
      <w:r w:rsidR="00037AD5">
        <w:rPr>
          <w:rFonts w:ascii="Arial" w:eastAsia="Arial" w:hAnsi="Arial" w:cs="Arial"/>
          <w:lang w:val="en-US"/>
        </w:rPr>
        <w:t>I1 of SP2 (F. Domínguez-Adame),</w:t>
      </w:r>
      <w:r w:rsidRPr="00037AD5">
        <w:rPr>
          <w:rFonts w:ascii="Arial" w:eastAsia="Arial" w:hAnsi="Arial" w:cs="Arial"/>
          <w:lang w:val="en-US"/>
        </w:rPr>
        <w:t xml:space="preserve"> E. Díaz, R. Molina, and  A. Malyshev. Work Team: </w:t>
      </w:r>
      <w:r w:rsidR="00037AD5" w:rsidRPr="00037AD5">
        <w:rPr>
          <w:rFonts w:ascii="Arial" w:eastAsia="Arial" w:hAnsi="Arial" w:cs="Arial"/>
          <w:lang w:val="en-US"/>
        </w:rPr>
        <w:t>V. Clericò</w:t>
      </w:r>
      <w:r w:rsidR="00037AD5" w:rsidRPr="00037AD5">
        <w:rPr>
          <w:rFonts w:ascii="Arial" w:eastAsia="Arial" w:hAnsi="Arial" w:cs="Arial"/>
          <w:lang w:val="en-US"/>
        </w:rPr>
        <w:t xml:space="preserve"> </w:t>
      </w:r>
      <w:r w:rsidR="00037AD5">
        <w:rPr>
          <w:rFonts w:ascii="Arial" w:eastAsia="Arial" w:hAnsi="Arial" w:cs="Arial"/>
          <w:lang w:val="en-US"/>
        </w:rPr>
        <w:t xml:space="preserve">, </w:t>
      </w:r>
      <w:r w:rsidRPr="00037AD5">
        <w:rPr>
          <w:rFonts w:ascii="Arial" w:eastAsia="Arial" w:hAnsi="Arial" w:cs="Arial"/>
          <w:lang w:val="en-US"/>
        </w:rPr>
        <w:t xml:space="preserve">P. Canteli, J. Gil, E. Abidi, M. García, and J. Estrada. </w:t>
      </w:r>
    </w:p>
    <w:p w14:paraId="6A1E8673" w14:textId="77777777" w:rsidR="00134B9E" w:rsidRPr="00037AD5" w:rsidRDefault="00EC6124">
      <w:pPr>
        <w:spacing w:before="240" w:after="240" w:line="240" w:lineRule="auto"/>
        <w:jc w:val="both"/>
        <w:rPr>
          <w:rFonts w:ascii="Arial" w:eastAsia="Arial" w:hAnsi="Arial" w:cs="Arial"/>
          <w:b/>
          <w:sz w:val="18"/>
          <w:szCs w:val="18"/>
          <w:lang w:val="en-US"/>
        </w:rPr>
      </w:pPr>
      <w:r w:rsidRPr="00037AD5">
        <w:rPr>
          <w:rFonts w:ascii="Arial" w:eastAsia="Arial" w:hAnsi="Arial" w:cs="Arial"/>
          <w:lang w:val="en-US"/>
        </w:rPr>
        <w:t>Transport measurements will be performed at low temperatures and high magnetic fields to determine the mobility and carrier density in the developed devices. High-frequency (0.075–5 THz) photovoltaic/photoconductive response measurements will be performed using our TeraLab facilities (see Figure 4). The ASL-GTeraFETs fabricated in WP1 will be tested at low temperatures using a pulsed tube cryostat operating in the 5-300K range.  In our TeraLab, we have a different measurement setup that covers the 0.075-5 THz range. For the 0.075–0.6 THz range, a dual solid-state source based on a 12.5 GHz dielectric resonator will be used. The measurements span the range of 2–5 THz, utilizing a multi-source system based on several Quantum Cascade Laser chips with Sterling cooling. The quality factor depends on the mobility of the device carriers and the excitation frequency. We will utilize our calibrated THz detector to accurately extract the key figures of merit, including Noise Equivalent Power (NEP), Responsivity, and Detectivity of the THz sensors developed within this project. We are particularly interested in measuring the response speed of these detectors, which will demonstrate the potential for using them in telecommunications and rapid inspection applications. The primary objective is to demonstrate a transition from a ballistic to a hydrodynamic regime that occurs at low temperatures upon switching on THz radiation, thereby achieving a new record in responsivity and sensitivity for THz detectors.</w:t>
      </w:r>
    </w:p>
    <w:p w14:paraId="3018DBAB" w14:textId="77777777" w:rsidR="00134B9E" w:rsidRDefault="00EC6124">
      <w:pPr>
        <w:spacing w:before="240" w:after="240" w:line="240" w:lineRule="auto"/>
        <w:jc w:val="both"/>
        <w:rPr>
          <w:rFonts w:ascii="Arial" w:eastAsia="Arial" w:hAnsi="Arial" w:cs="Arial"/>
          <w:b/>
          <w:sz w:val="18"/>
          <w:szCs w:val="18"/>
        </w:rPr>
      </w:pPr>
      <w:r w:rsidRPr="00037AD5">
        <w:rPr>
          <w:rFonts w:ascii="Arial" w:eastAsia="Arial" w:hAnsi="Arial" w:cs="Arial"/>
          <w:b/>
          <w:sz w:val="18"/>
          <w:szCs w:val="18"/>
          <w:lang w:val="en-US"/>
        </w:rPr>
        <w:lastRenderedPageBreak/>
        <w:t xml:space="preserve"> </w:t>
      </w:r>
      <w:r>
        <w:rPr>
          <w:rFonts w:ascii="Arial" w:eastAsia="Arial" w:hAnsi="Arial" w:cs="Arial"/>
          <w:b/>
          <w:noProof/>
          <w:sz w:val="18"/>
          <w:szCs w:val="18"/>
          <w:lang w:val="en-US"/>
        </w:rPr>
        <w:drawing>
          <wp:inline distT="114300" distB="114300" distL="114300" distR="114300" wp14:anchorId="62979DDE" wp14:editId="6D902FF4">
            <wp:extent cx="5759140" cy="2616200"/>
            <wp:effectExtent l="0" t="0" r="0" b="0"/>
            <wp:docPr id="179467209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5759140" cy="2616200"/>
                    </a:xfrm>
                    <a:prstGeom prst="rect">
                      <a:avLst/>
                    </a:prstGeom>
                    <a:ln/>
                  </pic:spPr>
                </pic:pic>
              </a:graphicData>
            </a:graphic>
          </wp:inline>
        </w:drawing>
      </w:r>
    </w:p>
    <w:p w14:paraId="44B00C8F" w14:textId="77777777" w:rsidR="00134B9E" w:rsidRDefault="00134B9E">
      <w:pPr>
        <w:spacing w:before="140" w:line="240" w:lineRule="auto"/>
        <w:ind w:right="140"/>
        <w:jc w:val="both"/>
        <w:rPr>
          <w:rFonts w:ascii="Arial" w:eastAsia="Arial" w:hAnsi="Arial" w:cs="Arial"/>
          <w:b/>
          <w:sz w:val="18"/>
          <w:szCs w:val="18"/>
        </w:rPr>
      </w:pPr>
    </w:p>
    <w:p w14:paraId="30DE90D5" w14:textId="77777777" w:rsidR="00134B9E" w:rsidRPr="00037AD5" w:rsidRDefault="00EC6124">
      <w:pPr>
        <w:spacing w:before="140" w:line="240" w:lineRule="auto"/>
        <w:ind w:right="140"/>
        <w:jc w:val="both"/>
        <w:rPr>
          <w:rFonts w:ascii="Arial" w:eastAsia="Arial" w:hAnsi="Arial" w:cs="Arial"/>
          <w:lang w:val="en-US"/>
        </w:rPr>
      </w:pPr>
      <w:r w:rsidRPr="00037AD5">
        <w:rPr>
          <w:rFonts w:ascii="Arial" w:eastAsia="Arial" w:hAnsi="Arial" w:cs="Arial"/>
          <w:b/>
          <w:sz w:val="18"/>
          <w:szCs w:val="18"/>
          <w:lang w:val="en-US"/>
        </w:rPr>
        <w:t>Figure 4</w:t>
      </w:r>
      <w:r w:rsidRPr="00037AD5">
        <w:rPr>
          <w:rFonts w:ascii="Arial" w:eastAsia="Arial" w:hAnsi="Arial" w:cs="Arial"/>
          <w:sz w:val="18"/>
          <w:szCs w:val="18"/>
          <w:lang w:val="en-US"/>
        </w:rPr>
        <w:t xml:space="preserve">: The USAL-Nanolab system of THz characterization (5K - 300K), with radiation from 0,15 to 5 THz. </w:t>
      </w:r>
    </w:p>
    <w:p w14:paraId="65670EC6"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We will also utilize our optical dilution system (TRITON DR200), with a base temperature of 7 mK, in conjunction with the previous setup for THz characterization in the Low Temperature Laboratory of our group, located near the Teslatron system that will be used for transport and magnetotransport characterization. </w:t>
      </w:r>
    </w:p>
    <w:p w14:paraId="3DAEA223" w14:textId="77777777" w:rsidR="00134B9E" w:rsidRPr="00037AD5" w:rsidRDefault="00134B9E">
      <w:pPr>
        <w:spacing w:after="100" w:line="240" w:lineRule="auto"/>
        <w:jc w:val="both"/>
        <w:rPr>
          <w:rFonts w:ascii="Arial" w:eastAsia="Arial" w:hAnsi="Arial" w:cs="Arial"/>
          <w:lang w:val="en-US"/>
        </w:rPr>
      </w:pPr>
    </w:p>
    <w:p w14:paraId="6F8EFB3E" w14:textId="6944946B"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lang w:val="en-US"/>
        </w:rPr>
        <w:t>Activity 1.3 Scaling our ASL-GTeraFET: From exfoliated hBN/graphene/hBN sample to CVD grown graphene/hBN</w:t>
      </w:r>
      <w:r w:rsidRPr="00037AD5">
        <w:rPr>
          <w:rFonts w:ascii="Arial" w:eastAsia="Arial" w:hAnsi="Arial" w:cs="Arial"/>
          <w:lang w:val="en-US"/>
        </w:rPr>
        <w:t>.  Led by  PI2 of SP1 (M. Amado). Research team: PI1 of SP1 (E. Diez),</w:t>
      </w:r>
      <w:r w:rsidR="00037AD5">
        <w:rPr>
          <w:rFonts w:ascii="Arial" w:eastAsia="Arial" w:hAnsi="Arial" w:cs="Arial"/>
          <w:lang w:val="en-US"/>
        </w:rPr>
        <w:t>.</w:t>
      </w:r>
      <w:r w:rsidRPr="00037AD5">
        <w:rPr>
          <w:rFonts w:ascii="Arial" w:eastAsia="Arial" w:hAnsi="Arial" w:cs="Arial"/>
          <w:lang w:val="en-US"/>
        </w:rPr>
        <w:t xml:space="preserve"> Work team: </w:t>
      </w:r>
      <w:r w:rsidR="00037AD5" w:rsidRPr="00037AD5">
        <w:rPr>
          <w:rFonts w:ascii="Arial" w:eastAsia="Arial" w:hAnsi="Arial" w:cs="Arial"/>
          <w:lang w:val="en-US"/>
        </w:rPr>
        <w:t>V. Clericò</w:t>
      </w:r>
      <w:r w:rsidR="00037AD5">
        <w:rPr>
          <w:rFonts w:ascii="Arial" w:eastAsia="Arial" w:hAnsi="Arial" w:cs="Arial"/>
          <w:lang w:val="en-US"/>
        </w:rPr>
        <w:t xml:space="preserve">, </w:t>
      </w:r>
      <w:r w:rsidRPr="00037AD5">
        <w:rPr>
          <w:rFonts w:ascii="Arial" w:eastAsia="Arial" w:hAnsi="Arial" w:cs="Arial"/>
          <w:lang w:val="en-US"/>
        </w:rPr>
        <w:t xml:space="preserve"> P. Canteli, J. Gil, E. Abidi, hired postdoctoral research associate SP1, research technician SP1, and J. Estrada.</w:t>
      </w:r>
    </w:p>
    <w:p w14:paraId="5B497441"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This activity targets a crucial step toward </w:t>
      </w:r>
      <w:r w:rsidRPr="00037AD5">
        <w:rPr>
          <w:rFonts w:ascii="Arial" w:eastAsia="Arial" w:hAnsi="Arial" w:cs="Arial"/>
          <w:b/>
          <w:lang w:val="en-US"/>
        </w:rPr>
        <w:t>scalable device integration</w:t>
      </w:r>
      <w:r w:rsidRPr="00037AD5">
        <w:rPr>
          <w:rFonts w:ascii="Arial" w:eastAsia="Arial" w:hAnsi="Arial" w:cs="Arial"/>
          <w:lang w:val="en-US"/>
        </w:rPr>
        <w:t>: transitioning from exfoliated samples to CVD-grown graphene and hBN/graphene/hBN heterostructures, eliminating the use of graphite back gates to streamline fabrication. This shift validates the scalability and reproducibility of our ASL-GTeraFET concept, enabling potential mass production. A dedicated research associate will be crucial to the success of this objective, handling fabrication and measurements to ensure the reliable implementation of CVD-based device architectures. Their role will be central to achieve high device yield and consistent performance across larger-area samples. The CVD graphene and heterostructures will be provided by our collaborators at IIT-Laboratorio NEST (Pisa)</w:t>
      </w:r>
      <w:r>
        <w:rPr>
          <w:rFonts w:ascii="Arial" w:eastAsia="Arial" w:hAnsi="Arial" w:cs="Arial"/>
          <w:vertAlign w:val="superscript"/>
        </w:rPr>
        <w:footnoteReference w:id="2"/>
      </w:r>
      <w:r w:rsidRPr="00037AD5">
        <w:rPr>
          <w:rFonts w:ascii="Arial" w:eastAsia="Arial" w:hAnsi="Arial" w:cs="Arial"/>
          <w:lang w:val="en-US"/>
        </w:rPr>
        <w:t xml:space="preserve"> and McGill University (Montreal), where PI2 of SP1 (Mario Amado) developed significant expertise during his sabbatical, specifically in the growth and handling of high-quality single-crystal monolayer CVD graphene. Our goal is to fabricate and characterize ASL-GTeraFETs based on these scalable materials and to compare their THz detection performance with that of equivalent CVD devices without antidot structures. This will allow us to isolate and quantify the contribution of the engineered antidot lattices to responsivity, NEP, and other figures of merit. Antenna integration and detailed THz characterization, already described in Activities 1.1 and 1.2, will be carried out using the same protocols, ensuring a </w:t>
      </w:r>
      <w:r w:rsidRPr="00037AD5">
        <w:rPr>
          <w:rFonts w:ascii="Arial" w:eastAsia="Arial" w:hAnsi="Arial" w:cs="Arial"/>
          <w:b/>
          <w:lang w:val="en-US"/>
        </w:rPr>
        <w:t>consistent basis for comparison across device types</w:t>
      </w:r>
      <w:r w:rsidRPr="00037AD5">
        <w:rPr>
          <w:rFonts w:ascii="Arial" w:eastAsia="Arial" w:hAnsi="Arial" w:cs="Arial"/>
          <w:lang w:val="en-US"/>
        </w:rPr>
        <w:t>. This comparative study will be key in demonstrating that the hydrodynamic enhancement enabled by the antidot design is preserved and even scalable using CVD-grown platforms, marking a vital milestone in the path toward functional THz graphene-based technologies.</w:t>
      </w:r>
    </w:p>
    <w:p w14:paraId="2BFDCFD6" w14:textId="77777777" w:rsidR="00134B9E" w:rsidRPr="00037AD5" w:rsidRDefault="00EC6124">
      <w:pPr>
        <w:spacing w:after="100" w:line="240" w:lineRule="auto"/>
        <w:jc w:val="both"/>
        <w:rPr>
          <w:rFonts w:ascii="Arial" w:eastAsia="Arial" w:hAnsi="Arial" w:cs="Arial"/>
          <w:b/>
          <w:lang w:val="en-US"/>
        </w:rPr>
      </w:pPr>
      <w:r w:rsidRPr="00037AD5">
        <w:rPr>
          <w:rFonts w:ascii="Arial" w:eastAsia="Arial" w:hAnsi="Arial" w:cs="Arial"/>
          <w:b/>
          <w:lang w:val="en-US"/>
        </w:rPr>
        <w:lastRenderedPageBreak/>
        <w:t>WP2.- Hydrodynamic graphene electric regulator and switch</w:t>
      </w:r>
    </w:p>
    <w:p w14:paraId="431AFFA3"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We propose a second device based on our recent proposal [EST24b], which exploits the anomalous differential resistance of viscous electron fluids. Ohm's law states the proportionality between voltage and electrical current. However, we demonstrated that for hydrodynamic electrons, the viscosity and device resistance drop for currents in the order of 10 </w:t>
      </w:r>
      <w:r>
        <w:rPr>
          <w:rFonts w:ascii="Arial" w:eastAsia="Arial" w:hAnsi="Arial" w:cs="Arial"/>
          <w:i/>
        </w:rPr>
        <w:t>μ</w:t>
      </w:r>
      <w:r w:rsidRPr="00037AD5">
        <w:rPr>
          <w:rFonts w:ascii="Arial" w:eastAsia="Arial" w:hAnsi="Arial" w:cs="Arial"/>
          <w:lang w:val="en-US"/>
        </w:rPr>
        <w:t xml:space="preserve">A in monolayer graphene. The subsequent non-linear I-V characteristic can be exploited for electronic devices, even with later prospects in negative differential resistance (i.e., S-shaped I-V characteristics) for high-frequency amplifiers and oscillators. However, we will mitigate practical challenges and cover only the predictions that do not involve a strictly </w:t>
      </w:r>
      <w:r w:rsidRPr="00037AD5">
        <w:rPr>
          <w:rFonts w:ascii="Arial" w:eastAsia="Arial" w:hAnsi="Arial" w:cs="Arial"/>
          <w:i/>
          <w:lang w:val="en-US"/>
        </w:rPr>
        <w:t>negative</w:t>
      </w:r>
      <w:r w:rsidRPr="00037AD5">
        <w:rPr>
          <w:rFonts w:ascii="Arial" w:eastAsia="Arial" w:hAnsi="Arial" w:cs="Arial"/>
          <w:lang w:val="en-US"/>
        </w:rPr>
        <w:t xml:space="preserve"> differential resistance. This regime still provides an excellent starting point for developing graphene devices in the hydrodynamic regime. </w:t>
      </w:r>
    </w:p>
    <w:p w14:paraId="7DCDE135" w14:textId="77777777" w:rsidR="00134B9E" w:rsidRPr="00037AD5" w:rsidRDefault="00134B9E">
      <w:pPr>
        <w:spacing w:after="100" w:line="240" w:lineRule="auto"/>
        <w:jc w:val="both"/>
        <w:rPr>
          <w:rFonts w:ascii="Arial" w:eastAsia="Arial" w:hAnsi="Arial" w:cs="Arial"/>
          <w:lang w:val="en-US"/>
        </w:rPr>
      </w:pPr>
    </w:p>
    <w:p w14:paraId="5E45BC04"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We propose a geometrical engineering approach for the device, featuring a crenellated channel. We have already demonstrated the advantages of geometrically engineered devices for the superballistic effect [EST25a]. We also expect a boosted dependence of the resistance on the current compared to previous results on trivial geometries [HUA23,MOL95]. We will utilize this device as a voltage regulator, where the non-linear I-V curve provides a nearly constant voltage over a range of injected currents. Additionally, we plan to utilize the current to control the device's resistance, creating an electrically controlled switch. Many electronic devices rely on a non-linear response, and in WP2 we exploit the hydrodynamic peculiarities to fabricate a non-linear regulator and switch. The mechanism circumvents the issues inherent in the gapless nature of graphene, enabling devices to leverage the high mobility or high-frequency response of a graphene-based device. </w:t>
      </w:r>
    </w:p>
    <w:p w14:paraId="344AD8C5" w14:textId="77777777" w:rsidR="00134B9E" w:rsidRPr="00037AD5" w:rsidRDefault="00134B9E">
      <w:pPr>
        <w:spacing w:after="100" w:line="240" w:lineRule="auto"/>
        <w:jc w:val="both"/>
        <w:rPr>
          <w:rFonts w:ascii="Arial" w:eastAsia="Arial" w:hAnsi="Arial" w:cs="Arial"/>
          <w:lang w:val="en-US"/>
        </w:rPr>
      </w:pPr>
    </w:p>
    <w:p w14:paraId="366AC5F3" w14:textId="2772EA0D" w:rsidR="00134B9E" w:rsidRPr="00037AD5" w:rsidRDefault="00EC6124">
      <w:pPr>
        <w:spacing w:after="0" w:line="240" w:lineRule="auto"/>
        <w:jc w:val="both"/>
        <w:rPr>
          <w:rFonts w:ascii="Arial" w:eastAsia="Arial" w:hAnsi="Arial" w:cs="Arial"/>
          <w:lang w:val="en-US"/>
        </w:rPr>
      </w:pPr>
      <w:r w:rsidRPr="00037AD5">
        <w:rPr>
          <w:rFonts w:ascii="Arial" w:eastAsia="Arial" w:hAnsi="Arial" w:cs="Arial"/>
          <w:b/>
          <w:color w:val="0E101A"/>
          <w:lang w:val="en-US"/>
        </w:rPr>
        <w:t xml:space="preserve">Activity 2.1 Fabrication and geometrical engineering of a graphene electrical regulator and switch. </w:t>
      </w:r>
      <w:r w:rsidRPr="00037AD5">
        <w:rPr>
          <w:rFonts w:ascii="Arial" w:eastAsia="Arial" w:hAnsi="Arial" w:cs="Arial"/>
          <w:lang w:val="en-US"/>
        </w:rPr>
        <w:t>Led by PI2 of SP1 (M. Amado). Research Team: PI1 of SP1 (E. Diez), PI1 of SP2 (F. Domí</w:t>
      </w:r>
      <w:r w:rsidR="00037AD5">
        <w:rPr>
          <w:rFonts w:ascii="Arial" w:eastAsia="Arial" w:hAnsi="Arial" w:cs="Arial"/>
          <w:lang w:val="en-US"/>
        </w:rPr>
        <w:t>nguez-Adame),</w:t>
      </w:r>
      <w:r w:rsidRPr="00037AD5">
        <w:rPr>
          <w:rFonts w:ascii="Arial" w:eastAsia="Arial" w:hAnsi="Arial" w:cs="Arial"/>
          <w:lang w:val="en-US"/>
        </w:rPr>
        <w:t xml:space="preserve"> and E. Díaz. Work team:</w:t>
      </w:r>
      <w:r w:rsidR="00037AD5">
        <w:rPr>
          <w:rFonts w:ascii="Arial" w:eastAsia="Arial" w:hAnsi="Arial" w:cs="Arial"/>
          <w:lang w:val="en-US"/>
        </w:rPr>
        <w:t xml:space="preserve"> </w:t>
      </w:r>
      <w:r w:rsidR="00037AD5" w:rsidRPr="00037AD5">
        <w:rPr>
          <w:rFonts w:ascii="Arial" w:eastAsia="Arial" w:hAnsi="Arial" w:cs="Arial"/>
          <w:lang w:val="en-US"/>
        </w:rPr>
        <w:t>V. Clericò</w:t>
      </w:r>
      <w:r w:rsidR="00037AD5">
        <w:rPr>
          <w:rFonts w:ascii="Arial" w:eastAsia="Arial" w:hAnsi="Arial" w:cs="Arial"/>
          <w:lang w:val="en-US"/>
        </w:rPr>
        <w:t>,</w:t>
      </w:r>
      <w:r w:rsidRPr="00037AD5">
        <w:rPr>
          <w:rFonts w:ascii="Arial" w:eastAsia="Arial" w:hAnsi="Arial" w:cs="Arial"/>
          <w:lang w:val="en-US"/>
        </w:rPr>
        <w:t xml:space="preserve"> P. Canteli, J. Gil, E. Abidi, M. García, and J. Estrada. </w:t>
      </w:r>
    </w:p>
    <w:p w14:paraId="3938C096" w14:textId="77777777" w:rsidR="00134B9E" w:rsidRPr="00037AD5" w:rsidRDefault="00134B9E">
      <w:pPr>
        <w:spacing w:after="0" w:line="240" w:lineRule="auto"/>
        <w:jc w:val="both"/>
        <w:rPr>
          <w:rFonts w:ascii="Arial" w:eastAsia="Arial" w:hAnsi="Arial" w:cs="Arial"/>
          <w:b/>
          <w:color w:val="0E101A"/>
          <w:lang w:val="en-US"/>
        </w:rPr>
      </w:pPr>
    </w:p>
    <w:p w14:paraId="51411501" w14:textId="77777777" w:rsidR="00134B9E" w:rsidRDefault="00EC6124">
      <w:pPr>
        <w:spacing w:after="0" w:line="240" w:lineRule="auto"/>
        <w:jc w:val="both"/>
        <w:rPr>
          <w:rFonts w:ascii="Arial" w:eastAsia="Arial" w:hAnsi="Arial" w:cs="Arial"/>
          <w:color w:val="0E101A"/>
        </w:rPr>
      </w:pPr>
      <w:r w:rsidRPr="00037AD5">
        <w:rPr>
          <w:rFonts w:ascii="Arial" w:eastAsia="Arial" w:hAnsi="Arial" w:cs="Arial"/>
          <w:color w:val="0E101A"/>
          <w:lang w:val="en-US"/>
        </w:rPr>
        <w:t xml:space="preserve">A geometrically engineered device bends the electron trajectories [KES21] and intensifies the hydrodynamic effects. We will </w:t>
      </w:r>
      <w:r w:rsidRPr="00037AD5">
        <w:rPr>
          <w:rFonts w:ascii="Arial" w:eastAsia="Arial" w:hAnsi="Arial" w:cs="Arial"/>
          <w:b/>
          <w:color w:val="0E101A"/>
          <w:lang w:val="en-US"/>
        </w:rPr>
        <w:t>fabricate a crenellated graphene channel</w:t>
      </w:r>
      <w:r w:rsidRPr="00037AD5">
        <w:rPr>
          <w:rFonts w:ascii="Arial" w:eastAsia="Arial" w:hAnsi="Arial" w:cs="Arial"/>
          <w:color w:val="0E101A"/>
          <w:lang w:val="en-US"/>
        </w:rPr>
        <w:t xml:space="preserve"> with a width of 100 nm to 200 nm. This device has a sinusoidally modulated width. A preliminary optimization using hydrodynamic simulations will define the details of the geometry, although we can proceed with the already simulated sinusoidal channel for the sake of this project </w:t>
      </w:r>
      <w:r w:rsidRPr="00037AD5">
        <w:rPr>
          <w:rFonts w:ascii="Arial" w:eastAsia="Arial" w:hAnsi="Arial" w:cs="Arial"/>
          <w:lang w:val="en-US"/>
        </w:rPr>
        <w:t>[EST24b]</w:t>
      </w:r>
      <w:r w:rsidRPr="00037AD5">
        <w:rPr>
          <w:rFonts w:ascii="Arial" w:eastAsia="Arial" w:hAnsi="Arial" w:cs="Arial"/>
          <w:color w:val="0E101A"/>
          <w:lang w:val="en-US"/>
        </w:rPr>
        <w:t>. Crenellated channels have a similar effect to the antidot superlattice in bending the electron flow [EST25d]. However, for the same total current, they enable larger current densities while mimicking the spurious heating by a larger antidot superlattice. This further supports the fabrication of a separate device. Although graphene experiments already use a current larger than the required 20</w:t>
      </w:r>
      <w:r>
        <w:rPr>
          <w:rFonts w:ascii="Arial" w:eastAsia="Arial" w:hAnsi="Arial" w:cs="Arial"/>
          <w:color w:val="0E101A"/>
        </w:rPr>
        <w:t>μ</w:t>
      </w:r>
      <w:r w:rsidRPr="00037AD5">
        <w:rPr>
          <w:rFonts w:ascii="Arial" w:eastAsia="Arial" w:hAnsi="Arial" w:cs="Arial"/>
          <w:color w:val="0E101A"/>
          <w:lang w:val="en-US"/>
        </w:rPr>
        <w:t xml:space="preserve">A [BAN16,HUA23,PAL24,GER25], the device will implement a bottleneck geometry to facilitate current injection. Two-terminal measurements would be sensitive to differential resistance, and we can mitigate the contact resistance as much as needed by placing multiple periods of the crenellated channel one after the other. We complete the device with additional probes for a standard four-probe electrical characterization. </w:t>
      </w:r>
      <w:r>
        <w:rPr>
          <w:rFonts w:ascii="Arial" w:eastAsia="Arial" w:hAnsi="Arial" w:cs="Arial"/>
          <w:color w:val="0E101A"/>
        </w:rPr>
        <w:t>Figure 5 depicts the proposed regulator/switch.</w:t>
      </w:r>
    </w:p>
    <w:p w14:paraId="48CFB163" w14:textId="77777777" w:rsidR="00134B9E" w:rsidRDefault="00EC6124">
      <w:pPr>
        <w:spacing w:after="0" w:line="240" w:lineRule="auto"/>
        <w:jc w:val="both"/>
        <w:rPr>
          <w:rFonts w:ascii="Arial" w:eastAsia="Arial" w:hAnsi="Arial" w:cs="Arial"/>
          <w:color w:val="0E101A"/>
        </w:rPr>
      </w:pPr>
      <w:r>
        <w:rPr>
          <w:rFonts w:ascii="Arial" w:eastAsia="Arial" w:hAnsi="Arial" w:cs="Arial"/>
          <w:noProof/>
          <w:color w:val="0E101A"/>
          <w:lang w:val="en-US"/>
        </w:rPr>
        <w:lastRenderedPageBreak/>
        <w:drawing>
          <wp:inline distT="114300" distB="114300" distL="114300" distR="114300" wp14:anchorId="4F8C8978" wp14:editId="5D8294BD">
            <wp:extent cx="5759140" cy="2006600"/>
            <wp:effectExtent l="0" t="0" r="0" b="0"/>
            <wp:docPr id="179467208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3"/>
                    <a:srcRect/>
                    <a:stretch>
                      <a:fillRect/>
                    </a:stretch>
                  </pic:blipFill>
                  <pic:spPr>
                    <a:xfrm>
                      <a:off x="0" y="0"/>
                      <a:ext cx="5759140" cy="2006600"/>
                    </a:xfrm>
                    <a:prstGeom prst="rect">
                      <a:avLst/>
                    </a:prstGeom>
                    <a:ln/>
                  </pic:spPr>
                </pic:pic>
              </a:graphicData>
            </a:graphic>
          </wp:inline>
        </w:drawing>
      </w:r>
    </w:p>
    <w:p w14:paraId="62D4FDA0" w14:textId="77777777" w:rsidR="00134B9E" w:rsidRPr="00037AD5" w:rsidRDefault="00EC6124">
      <w:pPr>
        <w:spacing w:after="0" w:line="240" w:lineRule="auto"/>
        <w:jc w:val="both"/>
        <w:rPr>
          <w:rFonts w:ascii="Arial" w:eastAsia="Arial" w:hAnsi="Arial" w:cs="Arial"/>
          <w:color w:val="0E101A"/>
          <w:sz w:val="18"/>
          <w:szCs w:val="18"/>
          <w:lang w:val="en-US"/>
        </w:rPr>
      </w:pPr>
      <w:r w:rsidRPr="00037AD5">
        <w:rPr>
          <w:rFonts w:ascii="Arial" w:eastAsia="Arial" w:hAnsi="Arial" w:cs="Arial"/>
          <w:b/>
          <w:color w:val="0E101A"/>
          <w:sz w:val="18"/>
          <w:szCs w:val="18"/>
          <w:lang w:val="en-US"/>
        </w:rPr>
        <w:t>Figure 5</w:t>
      </w:r>
      <w:r w:rsidRPr="00037AD5">
        <w:rPr>
          <w:rFonts w:ascii="Arial" w:eastAsia="Arial" w:hAnsi="Arial" w:cs="Arial"/>
          <w:color w:val="0E101A"/>
          <w:sz w:val="18"/>
          <w:szCs w:val="18"/>
          <w:lang w:val="en-US"/>
        </w:rPr>
        <w:t xml:space="preserve">: Proposed device in WP2. (a) Sketch of the graphene heterostructure, with a defined crenellated channel and the electrical contacts. (b) Simulation of electron flow in a crenellated channel. The geometry bends the electron flow and boosts the hydrodynamic effects. </w:t>
      </w:r>
    </w:p>
    <w:p w14:paraId="2012DB16" w14:textId="77777777" w:rsidR="00134B9E" w:rsidRPr="00037AD5" w:rsidRDefault="00134B9E">
      <w:pPr>
        <w:spacing w:after="0" w:line="240" w:lineRule="auto"/>
        <w:jc w:val="both"/>
        <w:rPr>
          <w:rFonts w:ascii="Arial" w:eastAsia="Arial" w:hAnsi="Arial" w:cs="Arial"/>
          <w:color w:val="0E101A"/>
          <w:lang w:val="en-US"/>
        </w:rPr>
      </w:pPr>
    </w:p>
    <w:p w14:paraId="0E6BAD6B" w14:textId="77777777" w:rsidR="00134B9E" w:rsidRPr="00037AD5" w:rsidRDefault="00EC6124">
      <w:pPr>
        <w:spacing w:after="0" w:line="240" w:lineRule="auto"/>
        <w:jc w:val="both"/>
        <w:rPr>
          <w:rFonts w:ascii="Arial" w:eastAsia="Arial" w:hAnsi="Arial" w:cs="Arial"/>
          <w:color w:val="0E101A"/>
          <w:lang w:val="en-US"/>
        </w:rPr>
      </w:pPr>
      <w:r w:rsidRPr="00037AD5">
        <w:rPr>
          <w:rFonts w:ascii="Arial" w:eastAsia="Arial" w:hAnsi="Arial" w:cs="Arial"/>
          <w:color w:val="0E101A"/>
          <w:lang w:val="en-US"/>
        </w:rPr>
        <w:t>The device will consist of a hBN-encapsulated heterostructure, where a back-gate capacitor controls the carrier density. The geometry will be defined using electron beam lithography [EST25a]. The geometrical features of this device (100nm-200nm) are larger than the minor feature we fabricated using this technique (50nm). Simulations also show that the periodicity of the channel or the definition of the details is not crucial to the result, as long as the geometry bends the electron trajectories. In conjunction with the calculations for single-layer graphene, we will conduct preliminary simulations for bilayer graphene. The use of bilayer graphene mitigates the impact of scattering against defects near the charge neutrality point [BAN16] and has recently demonstrated its utility in enhancing non-linear effects [</w:t>
      </w:r>
      <w:r w:rsidRPr="00037AD5">
        <w:rPr>
          <w:rFonts w:ascii="Arial" w:eastAsia="Arial" w:hAnsi="Arial" w:cs="Arial"/>
          <w:lang w:val="en-US"/>
        </w:rPr>
        <w:t>GER25]</w:t>
      </w:r>
      <w:r w:rsidRPr="00037AD5">
        <w:rPr>
          <w:rFonts w:ascii="Arial" w:eastAsia="Arial" w:hAnsi="Arial" w:cs="Arial"/>
          <w:color w:val="0E101A"/>
          <w:lang w:val="en-US"/>
        </w:rPr>
        <w:t xml:space="preserve"> in that region. We have later revealed that the anisotropy of the Fermi surface of a material can improve the hydrodynamic signatures, including the superballistic effect [EST25b]. Therefore, although we know the functionality with monolayer graphene and the structure of the device will be the same, simulations will decide whether it is even more advantageous to use two graphene layers. We will complete the fabrication of the device with wire bonding and verify the contacts in a probe station at room temperature. </w:t>
      </w:r>
    </w:p>
    <w:p w14:paraId="53E88DDA" w14:textId="77777777" w:rsidR="00134B9E" w:rsidRPr="00037AD5" w:rsidRDefault="00134B9E">
      <w:pPr>
        <w:spacing w:after="0" w:line="240" w:lineRule="auto"/>
        <w:jc w:val="both"/>
        <w:rPr>
          <w:rFonts w:ascii="Arial" w:eastAsia="Arial" w:hAnsi="Arial" w:cs="Arial"/>
          <w:color w:val="0E101A"/>
          <w:lang w:val="en-US"/>
        </w:rPr>
      </w:pPr>
    </w:p>
    <w:p w14:paraId="1B96D5F0" w14:textId="73E7604C" w:rsidR="00134B9E" w:rsidRPr="00037AD5" w:rsidRDefault="00EC6124">
      <w:pPr>
        <w:spacing w:after="0" w:line="240" w:lineRule="auto"/>
        <w:jc w:val="both"/>
        <w:rPr>
          <w:rFonts w:ascii="Arial" w:eastAsia="Arial" w:hAnsi="Arial" w:cs="Arial"/>
          <w:lang w:val="en-US"/>
        </w:rPr>
      </w:pPr>
      <w:r w:rsidRPr="00037AD5">
        <w:rPr>
          <w:rFonts w:ascii="Arial" w:eastAsia="Arial" w:hAnsi="Arial" w:cs="Arial"/>
          <w:b/>
          <w:color w:val="0E101A"/>
          <w:lang w:val="en-US"/>
        </w:rPr>
        <w:t xml:space="preserve">Activity 2.2 Electrical characterization of the I-V curve and use as a voltage regulator. </w:t>
      </w:r>
      <w:r w:rsidRPr="00037AD5">
        <w:rPr>
          <w:rFonts w:ascii="Arial" w:eastAsia="Arial" w:hAnsi="Arial" w:cs="Arial"/>
          <w:lang w:val="en-US"/>
        </w:rPr>
        <w:t xml:space="preserve">Led by PI1 of SP1 (E. Diez). Research Team: PI2 of SP1 (M. Amado), PI1 of SP2 (F. Domínguez-Adame), PI2 of SP2 (L. Chico), E. Díaz, R. Molina, A. Relaño, and hired postdoctoral research associate SP1. Work team: </w:t>
      </w:r>
      <w:r w:rsidR="00037AD5" w:rsidRPr="00037AD5">
        <w:rPr>
          <w:rFonts w:ascii="Arial" w:eastAsia="Arial" w:hAnsi="Arial" w:cs="Arial"/>
          <w:lang w:val="en-US"/>
        </w:rPr>
        <w:t>V. Clericò</w:t>
      </w:r>
      <w:r w:rsidR="00037AD5">
        <w:rPr>
          <w:rFonts w:ascii="Arial" w:eastAsia="Arial" w:hAnsi="Arial" w:cs="Arial"/>
          <w:lang w:val="en-US"/>
        </w:rPr>
        <w:t xml:space="preserve">, </w:t>
      </w:r>
      <w:r w:rsidRPr="00037AD5">
        <w:rPr>
          <w:rFonts w:ascii="Arial" w:eastAsia="Arial" w:hAnsi="Arial" w:cs="Arial"/>
          <w:lang w:val="en-US"/>
        </w:rPr>
        <w:t xml:space="preserve">P. Canteli, J. Gil, E. Abidi, M. García, hired research technician SP1, and J. Estrada. </w:t>
      </w:r>
    </w:p>
    <w:p w14:paraId="049A27B1" w14:textId="77777777" w:rsidR="00134B9E" w:rsidRPr="00037AD5" w:rsidRDefault="00134B9E">
      <w:pPr>
        <w:spacing w:after="0" w:line="240" w:lineRule="auto"/>
        <w:jc w:val="both"/>
        <w:rPr>
          <w:rFonts w:ascii="Arial" w:eastAsia="Arial" w:hAnsi="Arial" w:cs="Arial"/>
          <w:b/>
          <w:color w:val="0E101A"/>
          <w:lang w:val="en-US"/>
        </w:rPr>
      </w:pPr>
    </w:p>
    <w:p w14:paraId="28F15A10" w14:textId="77777777" w:rsidR="00134B9E" w:rsidRPr="00037AD5" w:rsidRDefault="00EC6124">
      <w:pPr>
        <w:spacing w:after="0" w:line="240" w:lineRule="auto"/>
        <w:jc w:val="both"/>
        <w:rPr>
          <w:rFonts w:ascii="Arial" w:eastAsia="Arial" w:hAnsi="Arial" w:cs="Arial"/>
          <w:color w:val="0E101A"/>
          <w:lang w:val="en-US"/>
        </w:rPr>
      </w:pPr>
      <w:r w:rsidRPr="00037AD5">
        <w:rPr>
          <w:rFonts w:ascii="Arial" w:eastAsia="Arial" w:hAnsi="Arial" w:cs="Arial"/>
          <w:color w:val="0E101A"/>
          <w:lang w:val="en-US"/>
        </w:rPr>
        <w:t xml:space="preserve">As a first mode of operation, we will use the device as a </w:t>
      </w:r>
      <w:r w:rsidRPr="00037AD5">
        <w:rPr>
          <w:rFonts w:ascii="Arial" w:eastAsia="Arial" w:hAnsi="Arial" w:cs="Arial"/>
          <w:b/>
          <w:color w:val="0E101A"/>
          <w:lang w:val="en-US"/>
        </w:rPr>
        <w:t>novel voltage regulator</w:t>
      </w:r>
      <w:r w:rsidRPr="00037AD5">
        <w:rPr>
          <w:rFonts w:ascii="Arial" w:eastAsia="Arial" w:hAnsi="Arial" w:cs="Arial"/>
          <w:color w:val="0E101A"/>
          <w:lang w:val="en-US"/>
        </w:rPr>
        <w:t xml:space="preserve">. Initially, we will measure the regulator's electrical resistance. We will start by mapping the resistance for different carrier densities and temperatures, ranging from close to zero to room temperature. This characterization gives an estimate of the electron's mobility in the device, and, most importantly, the dependence of the resistance on temperature gives the superballistic effect. This superballistic effect sets a consistent common ground for comparison with the superballistic effect in other geometries. Furthermore, it will quantify the success at bending the electron trajectories, which is the effect behind the non-linear response that interests us most. We will complete the preparatory measurements by applying a perpendicular magnetic field, which we have shown can result in a revival and even enhancement of the super- ballistic effect under commensurability conditions [EST25a].  </w:t>
      </w:r>
    </w:p>
    <w:p w14:paraId="4E18EA75" w14:textId="77777777" w:rsidR="00134B9E" w:rsidRPr="00037AD5" w:rsidRDefault="00134B9E">
      <w:pPr>
        <w:spacing w:after="0" w:line="240" w:lineRule="auto"/>
        <w:jc w:val="both"/>
        <w:rPr>
          <w:rFonts w:ascii="Arial" w:eastAsia="Arial" w:hAnsi="Arial" w:cs="Arial"/>
          <w:color w:val="0E101A"/>
          <w:lang w:val="en-US"/>
        </w:rPr>
      </w:pPr>
    </w:p>
    <w:p w14:paraId="2CE771C2" w14:textId="77777777" w:rsidR="00134B9E" w:rsidRPr="00037AD5" w:rsidRDefault="00EC6124">
      <w:pPr>
        <w:spacing w:after="0" w:line="240" w:lineRule="auto"/>
        <w:jc w:val="both"/>
        <w:rPr>
          <w:rFonts w:ascii="Arial" w:eastAsia="Arial" w:hAnsi="Arial" w:cs="Arial"/>
          <w:color w:val="0E101A"/>
          <w:lang w:val="en-US"/>
        </w:rPr>
      </w:pPr>
      <w:r w:rsidRPr="00037AD5">
        <w:rPr>
          <w:rFonts w:ascii="Arial" w:eastAsia="Arial" w:hAnsi="Arial" w:cs="Arial"/>
          <w:color w:val="0E101A"/>
          <w:lang w:val="en-US"/>
        </w:rPr>
        <w:t xml:space="preserve">Then, we will </w:t>
      </w:r>
      <w:r w:rsidRPr="00037AD5">
        <w:rPr>
          <w:rFonts w:ascii="Arial" w:eastAsia="Arial" w:hAnsi="Arial" w:cs="Arial"/>
          <w:b/>
          <w:color w:val="0E101A"/>
          <w:lang w:val="en-US"/>
        </w:rPr>
        <w:t>measure the I-V curves</w:t>
      </w:r>
      <w:r w:rsidRPr="00037AD5">
        <w:rPr>
          <w:rFonts w:ascii="Arial" w:eastAsia="Arial" w:hAnsi="Arial" w:cs="Arial"/>
          <w:color w:val="0E101A"/>
          <w:lang w:val="en-US"/>
        </w:rPr>
        <w:t xml:space="preserve"> of the device. We will use a DC source to inject currents of up to 100</w:t>
      </w:r>
      <w:r w:rsidRPr="00037AD5">
        <w:rPr>
          <w:rFonts w:ascii="Arial" w:eastAsia="Arial" w:hAnsi="Arial" w:cs="Arial"/>
          <w:i/>
          <w:color w:val="0E101A"/>
          <w:lang w:val="en-US"/>
        </w:rPr>
        <w:t xml:space="preserve"> </w:t>
      </w:r>
      <w:r>
        <w:rPr>
          <w:rFonts w:ascii="Arial" w:eastAsia="Arial" w:hAnsi="Arial" w:cs="Arial"/>
          <w:i/>
          <w:color w:val="0E101A"/>
        </w:rPr>
        <w:t>μ</w:t>
      </w:r>
      <w:r w:rsidRPr="00037AD5">
        <w:rPr>
          <w:rFonts w:ascii="Arial" w:eastAsia="Arial" w:hAnsi="Arial" w:cs="Arial"/>
          <w:color w:val="0E101A"/>
          <w:lang w:val="en-US"/>
        </w:rPr>
        <w:t xml:space="preserve">A, which is below the maximum current explored in graphene devices. Starting from low temperatures and at a carrier density of 0.5 × 10¹² electrons/cm², where collisions against defects are lower, we will map the curves as a function of carrier density and temperature. The current raises the electron’s temperature above the lattice temperature, favors electron-electron collisions, and reduces the electrical resistance. Figure 6 shows the </w:t>
      </w:r>
      <w:r w:rsidRPr="00037AD5">
        <w:rPr>
          <w:rFonts w:ascii="Arial" w:eastAsia="Arial" w:hAnsi="Arial" w:cs="Arial"/>
          <w:color w:val="0E101A"/>
          <w:lang w:val="en-US"/>
        </w:rPr>
        <w:lastRenderedPageBreak/>
        <w:t>simulated I-V curve for a crenellated channel. At low currents, the resistance is higher. At higher currents, however, the electron temperature increases, resulting in a decrease in resistance. The drop in resistance compensates for the extra current, resulting in a very similar voltage in the region where this curve tends to be vertical. In contrast with a conventional component, which obeys Ohm’s law with a linear I-V, this non-linear response stabilizes voltages.</w:t>
      </w:r>
    </w:p>
    <w:p w14:paraId="4603DE7E" w14:textId="77777777" w:rsidR="00134B9E" w:rsidRPr="00037AD5" w:rsidRDefault="00EC6124">
      <w:pPr>
        <w:spacing w:after="0" w:line="240" w:lineRule="auto"/>
        <w:jc w:val="both"/>
        <w:rPr>
          <w:rFonts w:ascii="Arial" w:eastAsia="Arial" w:hAnsi="Arial" w:cs="Arial"/>
          <w:color w:val="0E101A"/>
          <w:lang w:val="en-US"/>
        </w:rPr>
      </w:pPr>
      <w:r>
        <w:rPr>
          <w:rFonts w:ascii="Arial" w:eastAsia="Arial" w:hAnsi="Arial" w:cs="Arial"/>
          <w:noProof/>
          <w:color w:val="0E101A"/>
          <w:lang w:val="en-US"/>
        </w:rPr>
        <w:drawing>
          <wp:inline distT="114300" distB="114300" distL="114300" distR="114300" wp14:anchorId="7590EFD2" wp14:editId="544D5156">
            <wp:extent cx="5759140" cy="1917700"/>
            <wp:effectExtent l="0" t="0" r="0" b="0"/>
            <wp:docPr id="179467209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5759140" cy="1917700"/>
                    </a:xfrm>
                    <a:prstGeom prst="rect">
                      <a:avLst/>
                    </a:prstGeom>
                    <a:ln/>
                  </pic:spPr>
                </pic:pic>
              </a:graphicData>
            </a:graphic>
          </wp:inline>
        </w:drawing>
      </w:r>
      <w:r w:rsidRPr="00037AD5">
        <w:rPr>
          <w:rFonts w:ascii="Arial" w:eastAsia="Arial" w:hAnsi="Arial" w:cs="Arial"/>
          <w:color w:val="0E101A"/>
          <w:lang w:val="en-US"/>
        </w:rPr>
        <w:t xml:space="preserve"> </w:t>
      </w:r>
    </w:p>
    <w:p w14:paraId="1D7B5866" w14:textId="77777777" w:rsidR="00134B9E" w:rsidRPr="00037AD5" w:rsidRDefault="00EC6124">
      <w:pPr>
        <w:spacing w:after="0" w:line="240" w:lineRule="auto"/>
        <w:jc w:val="both"/>
        <w:rPr>
          <w:rFonts w:ascii="Arial" w:eastAsia="Arial" w:hAnsi="Arial" w:cs="Arial"/>
          <w:color w:val="0E101A"/>
          <w:sz w:val="18"/>
          <w:szCs w:val="18"/>
          <w:lang w:val="en-US"/>
        </w:rPr>
      </w:pPr>
      <w:r w:rsidRPr="00037AD5">
        <w:rPr>
          <w:rFonts w:ascii="Arial" w:eastAsia="Arial" w:hAnsi="Arial" w:cs="Arial"/>
          <w:b/>
          <w:color w:val="0E101A"/>
          <w:sz w:val="18"/>
          <w:szCs w:val="18"/>
          <w:lang w:val="en-US"/>
        </w:rPr>
        <w:t>Figure 6</w:t>
      </w:r>
      <w:r w:rsidRPr="00037AD5">
        <w:rPr>
          <w:rFonts w:ascii="Arial" w:eastAsia="Arial" w:hAnsi="Arial" w:cs="Arial"/>
          <w:color w:val="0E101A"/>
          <w:sz w:val="18"/>
          <w:szCs w:val="18"/>
          <w:lang w:val="en-US"/>
        </w:rPr>
        <w:t xml:space="preserve">: Simulated electrical response of the hydrodynamic graphene regulator. (a) I-V characteristic in a crenellated channel of width 200nm. Unlike a passive resistor in the Ohmic regime, hydrodynamics enables a nonlinear response. (b) The same information represents the current-controlled differential resistance. (c) Simulations demonstrate the impact of various boundary conditions. We enhance the nonlinear anomalous behavior by reducing defects and employing the primary strategy of geometrically engineering the device. Figure adapted from our reference [EST24b]. </w:t>
      </w:r>
    </w:p>
    <w:p w14:paraId="1FFB059E" w14:textId="77777777" w:rsidR="00134B9E" w:rsidRPr="00037AD5" w:rsidRDefault="00134B9E">
      <w:pPr>
        <w:spacing w:after="0" w:line="240" w:lineRule="auto"/>
        <w:jc w:val="both"/>
        <w:rPr>
          <w:rFonts w:ascii="Arial" w:eastAsia="Arial" w:hAnsi="Arial" w:cs="Arial"/>
          <w:color w:val="0E101A"/>
          <w:sz w:val="18"/>
          <w:szCs w:val="18"/>
          <w:lang w:val="en-US"/>
        </w:rPr>
      </w:pPr>
    </w:p>
    <w:p w14:paraId="7C133997" w14:textId="77777777" w:rsidR="00134B9E" w:rsidRPr="00037AD5" w:rsidRDefault="00EC6124">
      <w:pPr>
        <w:spacing w:after="0" w:line="240" w:lineRule="auto"/>
        <w:jc w:val="both"/>
        <w:rPr>
          <w:rFonts w:ascii="Arial" w:eastAsia="Arial" w:hAnsi="Arial" w:cs="Arial"/>
          <w:color w:val="0E101A"/>
          <w:lang w:val="en-US"/>
        </w:rPr>
      </w:pPr>
      <w:r w:rsidRPr="00037AD5">
        <w:rPr>
          <w:rFonts w:ascii="Arial" w:eastAsia="Arial" w:hAnsi="Arial" w:cs="Arial"/>
          <w:color w:val="0E101A"/>
          <w:lang w:val="en-US"/>
        </w:rPr>
        <w:t xml:space="preserve">We can compare the device that we will fabricate with a Zener diode. It works in both directions of the applied current. Still, it provides a non-linear I-V curve with a nearly stable voltage for a range of input currents. The physical mechanism, however, is entirely different. Hydrodynamics and the geometrical engineering of the device enable a </w:t>
      </w:r>
      <w:r w:rsidRPr="00037AD5">
        <w:rPr>
          <w:rFonts w:ascii="Arial" w:eastAsia="Arial" w:hAnsi="Arial" w:cs="Arial"/>
          <w:b/>
          <w:color w:val="0E101A"/>
          <w:lang w:val="en-US"/>
        </w:rPr>
        <w:t>new voltage regulator compatible with graphene technology</w:t>
      </w:r>
      <w:r w:rsidRPr="00037AD5">
        <w:rPr>
          <w:rFonts w:ascii="Arial" w:eastAsia="Arial" w:hAnsi="Arial" w:cs="Arial"/>
          <w:color w:val="0E101A"/>
          <w:lang w:val="en-US"/>
        </w:rPr>
        <w:t xml:space="preserve">. </w:t>
      </w:r>
    </w:p>
    <w:p w14:paraId="089542BB" w14:textId="77777777" w:rsidR="00134B9E" w:rsidRPr="00037AD5" w:rsidRDefault="00134B9E">
      <w:pPr>
        <w:spacing w:after="100" w:line="240" w:lineRule="auto"/>
        <w:jc w:val="both"/>
        <w:rPr>
          <w:rFonts w:ascii="Arial" w:eastAsia="Arial" w:hAnsi="Arial" w:cs="Arial"/>
          <w:lang w:val="en-US"/>
        </w:rPr>
      </w:pPr>
    </w:p>
    <w:p w14:paraId="612DB08F" w14:textId="2D6F4EA1" w:rsidR="00134B9E" w:rsidRPr="00037AD5" w:rsidRDefault="00EC6124">
      <w:pPr>
        <w:spacing w:after="0" w:line="240" w:lineRule="auto"/>
        <w:jc w:val="both"/>
        <w:rPr>
          <w:rFonts w:ascii="Arial" w:eastAsia="Arial" w:hAnsi="Arial" w:cs="Arial"/>
          <w:lang w:val="en-US"/>
        </w:rPr>
      </w:pPr>
      <w:r w:rsidRPr="00037AD5">
        <w:rPr>
          <w:rFonts w:ascii="Arial" w:eastAsia="Arial" w:hAnsi="Arial" w:cs="Arial"/>
          <w:b/>
          <w:color w:val="0E101A"/>
          <w:lang w:val="en-US"/>
        </w:rPr>
        <w:t xml:space="preserve">Activity 2.3 Electrical characterization of the differential resistance and use as an electrical switch. </w:t>
      </w:r>
      <w:r w:rsidRPr="00037AD5">
        <w:rPr>
          <w:rFonts w:ascii="Arial" w:eastAsia="Arial" w:hAnsi="Arial" w:cs="Arial"/>
          <w:lang w:val="en-US"/>
        </w:rPr>
        <w:t>Led by PI1 of SP1 (E. Diez). Research Team: PI2 of SP1 (M. Amado), PI1 of SP2 (F. Domínguez-A</w:t>
      </w:r>
      <w:r w:rsidR="00037AD5">
        <w:rPr>
          <w:rFonts w:ascii="Arial" w:eastAsia="Arial" w:hAnsi="Arial" w:cs="Arial"/>
          <w:lang w:val="en-US"/>
        </w:rPr>
        <w:t>dame), PI2 of SP2 (L. Chico)</w:t>
      </w:r>
      <w:r w:rsidRPr="00037AD5">
        <w:rPr>
          <w:rFonts w:ascii="Arial" w:eastAsia="Arial" w:hAnsi="Arial" w:cs="Arial"/>
          <w:lang w:val="en-US"/>
        </w:rPr>
        <w:t xml:space="preserve">, E. Díaz, and hired a postdoctoral research associate of SP1. Work team: </w:t>
      </w:r>
      <w:r w:rsidR="00037AD5" w:rsidRPr="00037AD5">
        <w:rPr>
          <w:rFonts w:ascii="Arial" w:eastAsia="Arial" w:hAnsi="Arial" w:cs="Arial"/>
          <w:lang w:val="en-US"/>
        </w:rPr>
        <w:t>V. Clericò</w:t>
      </w:r>
      <w:r w:rsidR="00037AD5">
        <w:rPr>
          <w:rFonts w:ascii="Arial" w:eastAsia="Arial" w:hAnsi="Arial" w:cs="Arial"/>
          <w:lang w:val="en-US"/>
        </w:rPr>
        <w:t xml:space="preserve">, </w:t>
      </w:r>
      <w:r w:rsidRPr="00037AD5">
        <w:rPr>
          <w:rFonts w:ascii="Arial" w:eastAsia="Arial" w:hAnsi="Arial" w:cs="Arial"/>
          <w:lang w:val="en-US"/>
        </w:rPr>
        <w:t xml:space="preserve">P. Canteli, J. Gil, E. Abidi, hired research technician SP1, and J. Estrada. </w:t>
      </w:r>
    </w:p>
    <w:p w14:paraId="30DB59BB"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We will use the same device, but now we define a second mode of operation in which it functions as an</w:t>
      </w:r>
      <w:r w:rsidRPr="00037AD5">
        <w:rPr>
          <w:rFonts w:ascii="Arial" w:eastAsia="Arial" w:hAnsi="Arial" w:cs="Arial"/>
          <w:b/>
          <w:lang w:val="en-US"/>
        </w:rPr>
        <w:t xml:space="preserve"> electrical switch.</w:t>
      </w:r>
      <w:r w:rsidRPr="00037AD5">
        <w:rPr>
          <w:rFonts w:ascii="Arial" w:eastAsia="Arial" w:hAnsi="Arial" w:cs="Arial"/>
          <w:lang w:val="en-US"/>
        </w:rPr>
        <w:t xml:space="preserve"> In this configuration, we control the electrical resistance of the device by applying a DC bias. A base current on the order of 10 </w:t>
      </w:r>
      <w:r>
        <w:rPr>
          <w:rFonts w:ascii="Arial" w:eastAsia="Arial" w:hAnsi="Arial" w:cs="Arial"/>
          <w:i/>
        </w:rPr>
        <w:t>μ</w:t>
      </w:r>
      <w:r w:rsidRPr="00037AD5">
        <w:rPr>
          <w:rFonts w:ascii="Arial" w:eastAsia="Arial" w:hAnsi="Arial" w:cs="Arial"/>
          <w:lang w:val="en-US"/>
        </w:rPr>
        <w:t>A drives the system into a non-linear regime, where the resulting increase in electron temperature reduces the differential resistance experienced by a second, AC-driven signal.</w:t>
      </w:r>
    </w:p>
    <w:p w14:paraId="6A0E3778"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In this mode, a small AC current, typically on the order of a few nA, is superimposed onto the DC bias. The differential resistance is then extracted as the voltage response to the AC signal, effectively measuring the derivative of voltage with respect to current, dV/dI. By performing standard numerical calculations, we determine this differential resistance as a function of both carrier density and electronic temperature.</w:t>
      </w:r>
    </w:p>
    <w:p w14:paraId="3E72DCF2"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This operation allows the fabrication of an electrical switch that exhibits two well-defined states. The ON state occurs when the base DC is applied. In this case, the elevated electron temperature lowers the differential resistance, allowing the AC signal to propagate efficiently. In contrast, the OFF state occurs when no base current is applied; here, the electron temperature remains low, and the differential resistance is high, thereby suppressing the AC signal. This behavior closely resembles that of a basic bipolar transistor, in which the modulation of a base current controls the overall conductivity of the device. As in more generalized designs [NAR16], measurements are performed using the same collector for both </w:t>
      </w:r>
      <w:r w:rsidRPr="00037AD5">
        <w:rPr>
          <w:rFonts w:ascii="Arial" w:eastAsia="Arial" w:hAnsi="Arial" w:cs="Arial"/>
          <w:lang w:val="en-US"/>
        </w:rPr>
        <w:lastRenderedPageBreak/>
        <w:t>AC and DC signals. Figure 7 illustrates the differential resistance as a function of the applied current, showing how the two logical states are defined. Although simulations suggest that a larger change in resistance may be possible, our primary goal is to achieve a clear distinction between ON and OFF states, ideally with a differential resistance difference of approximately a factor of two, which is sufficient for reliable signal discrimination.</w:t>
      </w:r>
    </w:p>
    <w:p w14:paraId="57930E66" w14:textId="77777777" w:rsidR="00134B9E" w:rsidRDefault="00EC6124">
      <w:pPr>
        <w:spacing w:after="100" w:line="240" w:lineRule="auto"/>
        <w:jc w:val="center"/>
        <w:rPr>
          <w:rFonts w:ascii="Arial" w:eastAsia="Arial" w:hAnsi="Arial" w:cs="Arial"/>
          <w:color w:val="0E101A"/>
        </w:rPr>
      </w:pPr>
      <w:r>
        <w:rPr>
          <w:rFonts w:ascii="Arial" w:eastAsia="Arial" w:hAnsi="Arial" w:cs="Arial"/>
          <w:noProof/>
          <w:color w:val="0E101A"/>
          <w:lang w:val="en-US"/>
        </w:rPr>
        <w:drawing>
          <wp:inline distT="114300" distB="114300" distL="114300" distR="114300" wp14:anchorId="3536286F" wp14:editId="79B9FC25">
            <wp:extent cx="5759140" cy="1968500"/>
            <wp:effectExtent l="0" t="0" r="0" b="0"/>
            <wp:docPr id="179467208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5759140" cy="1968500"/>
                    </a:xfrm>
                    <a:prstGeom prst="rect">
                      <a:avLst/>
                    </a:prstGeom>
                    <a:ln/>
                  </pic:spPr>
                </pic:pic>
              </a:graphicData>
            </a:graphic>
          </wp:inline>
        </w:drawing>
      </w:r>
    </w:p>
    <w:p w14:paraId="3F9C3AC4"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color w:val="0E101A"/>
          <w:sz w:val="18"/>
          <w:szCs w:val="18"/>
          <w:lang w:val="en-US"/>
        </w:rPr>
        <w:t>Figure 7</w:t>
      </w:r>
      <w:r w:rsidRPr="00037AD5">
        <w:rPr>
          <w:rFonts w:ascii="Arial" w:eastAsia="Arial" w:hAnsi="Arial" w:cs="Arial"/>
          <w:color w:val="0E101A"/>
          <w:sz w:val="18"/>
          <w:szCs w:val="18"/>
          <w:lang w:val="en-US"/>
        </w:rPr>
        <w:t>:</w:t>
      </w:r>
      <w:r w:rsidRPr="00037AD5">
        <w:rPr>
          <w:rFonts w:ascii="Arial" w:eastAsia="Arial" w:hAnsi="Arial" w:cs="Arial"/>
          <w:color w:val="0E101A"/>
          <w:lang w:val="en-US"/>
        </w:rPr>
        <w:t xml:space="preserve"> </w:t>
      </w:r>
      <w:r w:rsidRPr="00037AD5">
        <w:rPr>
          <w:rFonts w:ascii="Arial" w:eastAsia="Arial" w:hAnsi="Arial" w:cs="Arial"/>
          <w:color w:val="0E101A"/>
          <w:sz w:val="18"/>
          <w:szCs w:val="18"/>
          <w:lang w:val="en-US"/>
        </w:rPr>
        <w:t xml:space="preserve">Proposal for the operation of the device as an electrical switch. (a) The ON state will be found upon application of a sizable DC bias current, yielding a low differential resistance, and henceforth permitting the signal to flow through the circuit easily. (b) The OFF state, when we do not apply the DC-bias current, leads to a higher differential resistance. </w:t>
      </w:r>
    </w:p>
    <w:p w14:paraId="678757A1" w14:textId="77777777" w:rsidR="00134B9E" w:rsidRPr="00037AD5" w:rsidRDefault="00EC6124">
      <w:pPr>
        <w:spacing w:before="240" w:after="240" w:line="240" w:lineRule="auto"/>
        <w:jc w:val="both"/>
        <w:rPr>
          <w:rFonts w:ascii="Arial" w:eastAsia="Arial" w:hAnsi="Arial" w:cs="Arial"/>
          <w:color w:val="0E101A"/>
          <w:lang w:val="en-US"/>
        </w:rPr>
      </w:pPr>
      <w:r w:rsidRPr="00037AD5">
        <w:rPr>
          <w:rFonts w:ascii="Arial" w:eastAsia="Arial" w:hAnsi="Arial" w:cs="Arial"/>
          <w:lang w:val="en-US"/>
        </w:rPr>
        <w:t xml:space="preserve">Beyond binary operation, we also explore the analog behavior of the device by mapping the differential resistance across a continuous range of applied currents. This enables the study of intermediate states and supports modeling of the system's response time. One of the main advantages of using a mechanism based on electronic temperature, rather than lattice temperature, is its near-instantaneous response to changes in current. The mechanism with the current avoids many capacitance effects, and the change in the electronic temperature is just limited by the relaxation times of electrons, whose collisions occur in the range of picoseconds. The hydrodynamic effect, combined with the properties of graphene, can be exploited for high-speed switching applications, reaching frequencies in the THz range. </w:t>
      </w:r>
    </w:p>
    <w:p w14:paraId="4E39A0F1" w14:textId="77777777" w:rsidR="00134B9E" w:rsidRPr="00037AD5" w:rsidRDefault="00134B9E">
      <w:pPr>
        <w:spacing w:after="100" w:line="240" w:lineRule="auto"/>
        <w:jc w:val="both"/>
        <w:rPr>
          <w:rFonts w:ascii="Arial" w:eastAsia="Arial" w:hAnsi="Arial" w:cs="Arial"/>
          <w:b/>
          <w:lang w:val="en-US"/>
        </w:rPr>
      </w:pPr>
    </w:p>
    <w:p w14:paraId="13E01525" w14:textId="77777777" w:rsidR="00134B9E" w:rsidRPr="00037AD5" w:rsidRDefault="00EC6124">
      <w:pPr>
        <w:spacing w:after="100" w:line="240" w:lineRule="auto"/>
        <w:jc w:val="both"/>
        <w:rPr>
          <w:rFonts w:ascii="Arial" w:eastAsia="Arial" w:hAnsi="Arial" w:cs="Arial"/>
          <w:b/>
          <w:lang w:val="en-US"/>
        </w:rPr>
      </w:pPr>
      <w:r w:rsidRPr="00037AD5">
        <w:rPr>
          <w:rFonts w:ascii="Arial" w:eastAsia="Arial" w:hAnsi="Arial" w:cs="Arial"/>
          <w:b/>
          <w:lang w:val="en-US"/>
        </w:rPr>
        <w:t>WP3.- Data management, dissemination, and transfer activities</w:t>
      </w:r>
    </w:p>
    <w:p w14:paraId="1697ECE2" w14:textId="77777777" w:rsidR="00134B9E" w:rsidRPr="00037AD5" w:rsidRDefault="00134B9E">
      <w:pPr>
        <w:spacing w:after="100" w:line="240" w:lineRule="auto"/>
        <w:jc w:val="both"/>
        <w:rPr>
          <w:rFonts w:ascii="Arial" w:eastAsia="Arial" w:hAnsi="Arial" w:cs="Arial"/>
          <w:b/>
          <w:lang w:val="en-US"/>
        </w:rPr>
      </w:pPr>
    </w:p>
    <w:p w14:paraId="5D6755AB"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The activities planned for WP3 are the following:</w:t>
      </w:r>
    </w:p>
    <w:p w14:paraId="604E6A78" w14:textId="77777777" w:rsidR="00134B9E" w:rsidRPr="00037AD5" w:rsidRDefault="00134B9E">
      <w:pPr>
        <w:spacing w:after="100" w:line="240" w:lineRule="auto"/>
        <w:jc w:val="both"/>
        <w:rPr>
          <w:rFonts w:ascii="Arial" w:eastAsia="Arial" w:hAnsi="Arial" w:cs="Arial"/>
          <w:lang w:val="en-US"/>
        </w:rPr>
      </w:pPr>
    </w:p>
    <w:p w14:paraId="3B576645"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lang w:val="en-US"/>
        </w:rPr>
        <w:t>Activity 3.1. Coordination of the subprojects</w:t>
      </w:r>
      <w:r w:rsidRPr="00037AD5">
        <w:rPr>
          <w:rFonts w:ascii="Arial" w:eastAsia="Arial" w:hAnsi="Arial" w:cs="Arial"/>
          <w:lang w:val="en-US"/>
        </w:rPr>
        <w:t xml:space="preserve">. Led by PI1 of SP1 (E. Diez) and PI1 of SP2 (F. Domínguez-Adame). </w:t>
      </w:r>
    </w:p>
    <w:p w14:paraId="22FB3564"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Considering the experience we have accumulated over the years through various coordinated projects, we believe that no adjustments are necessary and that coordination can continue to be carried out in the same manner. Therefore, a monthly online meeting is planned, involving all participating researchers. Additionally, a one-day workshop will be held every six months, either in Salamanca or Madrid, to present the main results of each activity through 30-minute talks. This will also contribute to the training of early-career researchers, particularly in developing their skills in delivering scientific presentations.</w:t>
      </w:r>
    </w:p>
    <w:p w14:paraId="1A3C0C61" w14:textId="77777777" w:rsidR="00134B9E" w:rsidRPr="00037AD5" w:rsidRDefault="00134B9E">
      <w:pPr>
        <w:spacing w:after="100" w:line="240" w:lineRule="auto"/>
        <w:jc w:val="both"/>
        <w:rPr>
          <w:rFonts w:ascii="Arial" w:eastAsia="Arial" w:hAnsi="Arial" w:cs="Arial"/>
          <w:lang w:val="en-US"/>
        </w:rPr>
      </w:pPr>
    </w:p>
    <w:p w14:paraId="0CB3B0EB"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lang w:val="en-US"/>
        </w:rPr>
        <w:t>Activity 3.2</w:t>
      </w:r>
      <w:r w:rsidRPr="00037AD5">
        <w:rPr>
          <w:rFonts w:ascii="Arial" w:eastAsia="Arial" w:hAnsi="Arial" w:cs="Arial"/>
          <w:lang w:val="en-US"/>
        </w:rPr>
        <w:t xml:space="preserve">. </w:t>
      </w:r>
      <w:r w:rsidRPr="00037AD5">
        <w:rPr>
          <w:rFonts w:ascii="Arial" w:eastAsia="Arial" w:hAnsi="Arial" w:cs="Arial"/>
          <w:b/>
          <w:lang w:val="en-US"/>
        </w:rPr>
        <w:t>Data Management Plan.</w:t>
      </w:r>
      <w:r w:rsidRPr="00037AD5">
        <w:rPr>
          <w:rFonts w:ascii="Arial" w:eastAsia="Arial" w:hAnsi="Arial" w:cs="Arial"/>
          <w:lang w:val="en-US"/>
        </w:rPr>
        <w:t xml:space="preserve"> Led by V. Clericó and A. Relaño.</w:t>
      </w:r>
    </w:p>
    <w:p w14:paraId="6496EC61"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This project is firmly committed to the principles of open science, in line with the policies of both the Spanish Government and the European Union. We will ensure that the scientific information generated throughout the project is made freely available online in a manner that is reusable, transparent, and verifiable. Our goal is to publish our findings in leading scientific </w:t>
      </w:r>
      <w:r w:rsidRPr="00037AD5">
        <w:rPr>
          <w:rFonts w:ascii="Arial" w:eastAsia="Arial" w:hAnsi="Arial" w:cs="Arial"/>
          <w:lang w:val="en-US"/>
        </w:rPr>
        <w:lastRenderedPageBreak/>
        <w:t>journals that support “Gold” open access, ensuring immediate and open availability to the public. Additionally, we will actively encourage submissions to SciPost.org, a platform that provides unrestricted and permanent access to scientific content worldwide. Preprints of all manuscripts will also be uploaded to the trusted repository arXiv.org, ensuring availability through the “Green” open-access route as well.</w:t>
      </w:r>
    </w:p>
    <w:p w14:paraId="0CF72A3F"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We are committed to sharing open-source data from our experiments and simulations via the OpenAIRE platform Zenodo, which is hosted by CERN and supported by the European Commission. Zenodo enables the dissemination of datasets up to 50 GB and assigns each one a unique Digital Object Identifier (DOI) to ensure they are easily found and cited. Upon reasonable interest and request, alongside datasets, we will also share algorithms, models, protocols, workflows, and electronic designs through the CodeBase platform, built on GitLab. We will nevertheless work closely with our local divisions to maximize the impact of our results (OTRI at UCM, OTRI and PEITI at USAL, and Unidad de Cultura Científica y Ciencia Ciudadana at CSIC) at both societal and economic levels.</w:t>
      </w:r>
    </w:p>
    <w:p w14:paraId="011C60AC"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A Data Management Plan (DMP) will be established within the first two months of the project and updated regularly as the project progresses. This plan outlines how research data will be handled during and after the project, including the types of data we expect to collect or generate, the standards and methodologies applied, what data will be shared openly, and how it will be curated and preserved in the long term. We will follow the FAIR principles, ensuring that data is Findable, Accessible, Interoperable, and Reusable. All research data will be preserved for at least two years after the project concludes, allowing time for final publications and dissemination of results. Our outputs will include deliverables, interim reports, experimental data from hardware development, sensor data from measurement systems, microscopy images and simulation results.</w:t>
      </w:r>
    </w:p>
    <w:p w14:paraId="38B55949"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Research data not restricted by intellectual property rights will be stored in certified local (USAL, UCM, and CSIC) or international repositories such as 4TU. ResearchData, a certified and trusted digital repository for technical and scientific data. Each dataset will be assigned a DOI to enhance its discoverability and accessibility, and the repository is indexed by both DataCite and the Thomson Reuters Data Citation Index.</w:t>
      </w:r>
    </w:p>
    <w:p w14:paraId="202F2535"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Finally, personal data related to activities such as workshops, meetings, and the project website will be handled with care. This will be outlined in the Data Management Plan and carried out in full compliance with the General Data Protection Regulation (GDPR).</w:t>
      </w:r>
    </w:p>
    <w:p w14:paraId="4BB31F78" w14:textId="77777777" w:rsidR="00134B9E" w:rsidRPr="00037AD5" w:rsidRDefault="00134B9E">
      <w:pPr>
        <w:spacing w:after="100" w:line="240" w:lineRule="auto"/>
        <w:jc w:val="both"/>
        <w:rPr>
          <w:rFonts w:ascii="Arial" w:eastAsia="Arial" w:hAnsi="Arial" w:cs="Arial"/>
          <w:lang w:val="en-US"/>
        </w:rPr>
      </w:pPr>
    </w:p>
    <w:p w14:paraId="31CB27CB"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lang w:val="en-US"/>
        </w:rPr>
        <w:t>Activity 3.3. Identification of results for intellectual property rights.</w:t>
      </w:r>
      <w:r w:rsidRPr="00037AD5">
        <w:rPr>
          <w:rFonts w:ascii="Arial" w:eastAsia="Arial" w:hAnsi="Arial" w:cs="Arial"/>
          <w:lang w:val="en-US"/>
        </w:rPr>
        <w:t xml:space="preserve"> Led by PI1 of SP1 (E. Diez) and PI1 of SP2 (F. Domínguez-Adame). </w:t>
      </w:r>
    </w:p>
    <w:p w14:paraId="59C2717C"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Identification of results for intellectual property rights (IPR) and their protection and transfer of technology. Data protection of the know-how and procedures acquired in the design of the targeted devices is also foreseen through at least one patent intended to be filed during the project. A portfolio of potential technological transfer centers will be generated through a search for potential end-users. Here we will work hand-to-hand with the </w:t>
      </w:r>
      <w:hyperlink r:id="rId16">
        <w:r w:rsidRPr="00037AD5">
          <w:rPr>
            <w:rFonts w:ascii="Arial" w:eastAsia="Arial" w:hAnsi="Arial" w:cs="Arial"/>
            <w:color w:val="1155CC"/>
            <w:u w:val="single"/>
            <w:lang w:val="en-US"/>
          </w:rPr>
          <w:t>U</w:t>
        </w:r>
      </w:hyperlink>
      <w:hyperlink r:id="rId17">
        <w:r w:rsidRPr="00037AD5">
          <w:rPr>
            <w:rFonts w:ascii="Arial" w:eastAsia="Arial" w:hAnsi="Arial" w:cs="Arial"/>
            <w:color w:val="1155CC"/>
            <w:u w:val="single"/>
            <w:lang w:val="en-US"/>
          </w:rPr>
          <w:t>nidad de Proteccion Intelectual de la USAL</w:t>
        </w:r>
      </w:hyperlink>
      <w:r w:rsidRPr="00037AD5">
        <w:rPr>
          <w:rFonts w:ascii="Arial" w:eastAsia="Arial" w:hAnsi="Arial" w:cs="Arial"/>
          <w:lang w:val="en-US"/>
        </w:rPr>
        <w:t xml:space="preserve"> to study the potential technological transfer and reach of the findings in this proposal.</w:t>
      </w:r>
    </w:p>
    <w:p w14:paraId="13887A9D" w14:textId="77777777" w:rsidR="00134B9E" w:rsidRPr="00037AD5" w:rsidRDefault="00134B9E">
      <w:pPr>
        <w:spacing w:after="100" w:line="240" w:lineRule="auto"/>
        <w:jc w:val="both"/>
        <w:rPr>
          <w:rFonts w:ascii="Arial" w:eastAsia="Arial" w:hAnsi="Arial" w:cs="Arial"/>
          <w:lang w:val="en-US"/>
        </w:rPr>
      </w:pPr>
    </w:p>
    <w:p w14:paraId="75D4A755"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lang w:val="en-US"/>
        </w:rPr>
        <w:t>Activity 3.4. Dissemination of results and internationalization.</w:t>
      </w:r>
      <w:r w:rsidRPr="00037AD5">
        <w:rPr>
          <w:rFonts w:ascii="Arial" w:eastAsia="Arial" w:hAnsi="Arial" w:cs="Arial"/>
          <w:lang w:val="en-US"/>
        </w:rPr>
        <w:t xml:space="preserve">  Led by PI2 of SP1 (M. Amado) and PI2 of SP2 (L. Chico). </w:t>
      </w:r>
    </w:p>
    <w:p w14:paraId="7A2460F6"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The results of the HYNEXTERA2D results will be disseminated to the scientific community as well as to the public. In particular, we will target peer-reviewed journals of high impact, not only in the fields of condensed matter and materials physics, but also more broadly in Nature, Science, and Physical Review publishers. We also recognize the importance of Open Access. Whenever possible, “Green Access” will be chosen, but funds for “Gold Access” will also be used to cover Open Access fees where the alternative is not possible. In this proof-of-concept project, our dissemination strategy will prioritize visibility and relevance beyond the academic </w:t>
      </w:r>
      <w:r w:rsidRPr="00037AD5">
        <w:rPr>
          <w:rFonts w:ascii="Arial" w:eastAsia="Arial" w:hAnsi="Arial" w:cs="Arial"/>
          <w:lang w:val="en-US"/>
        </w:rPr>
        <w:lastRenderedPageBreak/>
        <w:t>community. We aim to publish in high-impact journals that are not only scientifically rigorous but also accessible and attractive to industrial stakeholders and broader public audiences who may be interested in the technological applications of our research. This is particularly important given the translational potential of THz technologies and hydrodynamic plasmonics.</w:t>
      </w:r>
    </w:p>
    <w:p w14:paraId="60A8AB96"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While maintaining a consistent publication output, we will focus on increasing the impact factor and outreach of our publications, a trend we have successfully followed in recent years. In parallel, we will continue to present our results at prominent international conferences, such as the APS March Meeting, CMD, ICPS, SPIE Microtechnologies, and MRS, as well as in specialized workshops related to graphene plasmonics, nanoelectronics, and THz detection. These venues are ideal for engaging with both academic experts and industry representatives.</w:t>
      </w:r>
    </w:p>
    <w:p w14:paraId="41CB7AD3"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International collaboration and knowledge exchange remain central to our strategy. All team members are actively involved in research visits and international collaborations. For instance, Mario Amado is currently on sabbatical leave at McGill University, where he is working on the hydrodynamic motion of phonons in patterned graphene, as well as mastering the growth of CVD graphene, research that is highly synergistic with the objectives of this proposal. Other recent relevant academic stays also include Enrique Diez at the University of South Wales in the group of Alexander Hamilton.</w:t>
      </w:r>
    </w:p>
    <w:p w14:paraId="3633C89E" w14:textId="77777777" w:rsidR="00134B9E" w:rsidRPr="00037AD5" w:rsidRDefault="00134B9E">
      <w:pPr>
        <w:spacing w:after="100" w:line="240" w:lineRule="auto"/>
        <w:jc w:val="both"/>
        <w:rPr>
          <w:rFonts w:ascii="Arial" w:eastAsia="Arial" w:hAnsi="Arial" w:cs="Arial"/>
          <w:lang w:val="en-US"/>
        </w:rPr>
      </w:pPr>
    </w:p>
    <w:p w14:paraId="7BA438AD"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lang w:val="en-US"/>
        </w:rPr>
        <w:t>Activity 3.5. Dissemination to society.</w:t>
      </w:r>
      <w:r w:rsidRPr="00037AD5">
        <w:rPr>
          <w:rFonts w:ascii="Arial" w:eastAsia="Arial" w:hAnsi="Arial" w:cs="Arial"/>
          <w:lang w:val="en-US"/>
        </w:rPr>
        <w:t xml:space="preserve"> Led by PI2 of SP1 (M. Amado) and PI2 of SP2 (L. Chico). </w:t>
      </w:r>
    </w:p>
    <w:p w14:paraId="661F3889"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Our proposal aligns with the Strategic National Research Lines defined in the Spanish Strategy of Science, Technology, and Innovation 2021-2027, specifically in Line 4, Digital World, Industry, Space, and Defense, which explicitly mentions “Photonics and electronics” as well as “New materials and fabrication techniques.” We expect our results to add up and strengthen the Spanish contribution to Objective 9 of the United Nations' 2030 Agenda, Industry, Innovation, and Infrastructure. Our long-term cooperation with some of the leading companies in 2D materials, such as </w:t>
      </w:r>
      <w:hyperlink r:id="rId18">
        <w:r w:rsidRPr="00037AD5">
          <w:rPr>
            <w:rFonts w:ascii="Arial" w:eastAsia="Arial" w:hAnsi="Arial" w:cs="Arial"/>
            <w:color w:val="1155CC"/>
            <w:u w:val="single"/>
            <w:lang w:val="en-US"/>
          </w:rPr>
          <w:t>Graphenea</w:t>
        </w:r>
      </w:hyperlink>
      <w:r w:rsidRPr="00037AD5">
        <w:rPr>
          <w:rFonts w:ascii="Arial" w:eastAsia="Arial" w:hAnsi="Arial" w:cs="Arial"/>
          <w:lang w:val="en-US"/>
        </w:rPr>
        <w:t xml:space="preserve">, and standardization and metrology consortia for 2D materials at the European level enhances our options for transferring the fundamental knowledge developed in this project to society. We have experience in contracts for technology transfer and development with several industrial companies (see CVs of PIs in SP1). Therefore, we expect to provide a relevant contribution not only to the basic knowledge in quantum materials but also to transferring it to the industry. It will provide our society with breakthrough quantum technologies based on 2D materials, paving the way for a green and sustainable economy. </w:t>
      </w:r>
    </w:p>
    <w:p w14:paraId="56C8CAFE"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We also envisage reaching the general/non-specialized public through dissemination activities in the media. Results will be published in popular science magazines, through newsrooms, on social forums, and through our dedicated websites. As is commonly established at both institutions, offline roadshows will be organized at local venues, including high schools, universities, and technology parks, with the presence of high-tech companies as well as the annual Semana de la Ciencia in Madrid. These events will be open to the public, but the concept is designed to attract mainly young scientists on one side and high-tech SMEs with the potential to uptake research results on the other. We collaborate with Ciencia a la Carta, a non-profit organization devoted to outreach activities, promoting Science done by women with a focus on rural and special-needs audiences. We also participate in 11 de Febrero activities, giving talks related to the International Day of Women and Girls in Science. We actively participate in the STEM Talent Girl mentoring program, which aims to form relationships between experienced women working in STEM and young girls interested in pursuing a career in STEM.</w:t>
      </w:r>
    </w:p>
    <w:p w14:paraId="70204956"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As can be seen in the curricula of PIs, we have also published articles in outreach magazines aimed at non-specialized readers, such as the Revista Española de Física [EST24c], the American Journal of Physics, and the European Journal of Physics. Our research on antidot superlattices has garnered significant visibility through a Focus in Physics article by the American Physical Society (APS) [BUC25]. This platform highlights the most impactful and </w:t>
      </w:r>
      <w:r w:rsidRPr="00037AD5">
        <w:rPr>
          <w:rFonts w:ascii="Arial" w:eastAsia="Arial" w:hAnsi="Arial" w:cs="Arial"/>
          <w:lang w:val="en-US"/>
        </w:rPr>
        <w:lastRenderedPageBreak/>
        <w:t>broadly relevant advances in physics for a broad scientific audience, underscoring the importance and outreach potential of our work beyond specialized communities. Other national and international relevant professional media will be targeted for the dissemination of the results derived from the research, such as Cambridge University Press, New Scientist, and IOP Publishing. The main discoveries will also be advertised on popular websites, including phys.org, www.superconductorweek.com, and snf.ieeecsc.org.</w:t>
      </w:r>
    </w:p>
    <w:p w14:paraId="21AA6AFF" w14:textId="77777777" w:rsidR="00134B9E" w:rsidRPr="00037AD5" w:rsidRDefault="00134B9E">
      <w:pPr>
        <w:spacing w:after="100" w:line="240" w:lineRule="auto"/>
        <w:jc w:val="both"/>
        <w:rPr>
          <w:rFonts w:ascii="Arial" w:eastAsia="Arial" w:hAnsi="Arial" w:cs="Arial"/>
          <w:lang w:val="en-US"/>
        </w:rPr>
      </w:pPr>
    </w:p>
    <w:p w14:paraId="21D76AC4"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b/>
          <w:lang w:val="en-US"/>
        </w:rPr>
        <w:t>Activity 3.6. Training of young researchers.</w:t>
      </w:r>
      <w:r w:rsidRPr="00037AD5">
        <w:rPr>
          <w:rFonts w:ascii="Arial" w:eastAsia="Arial" w:hAnsi="Arial" w:cs="Arial"/>
          <w:lang w:val="en-US"/>
        </w:rPr>
        <w:t xml:space="preserve"> Led by PI1 of SP1 (E. Diez) and PI1 of SP2 (F. Domínguez-Adame). Research Team: PI2 of SP1 (M. Amado), PI2 of SP1 (L. Chico), E. Díaz, R. Molina, A. Malyshev, and A. Relaño.</w:t>
      </w:r>
    </w:p>
    <w:p w14:paraId="6027A889"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PhD students involved in this proposal have already started their research activities under the supervision of the senior members. Currently they are enrolled in the Doctorate Programs in Physics at USAL and UCM. Therefore, from the outset, they are seamlessly integrated within the group. They conduct their studies and research projects under the supervision of the senior members. The researchers of both subprojects are engaged in competitive international science, with an outstanding collective and individual record of research achievements and publications in top-quality journals, collaborate within an extensive network of renowned researchers worldwide, and possess vast experience in the supervision of PhD Fellows.</w:t>
      </w:r>
    </w:p>
    <w:p w14:paraId="6C79669C"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Furthermore, we will also train undergraduate and master's students in science and technology related to 2D materials for electronic devices in the </w:t>
      </w:r>
      <w:r w:rsidRPr="00037AD5">
        <w:rPr>
          <w:rFonts w:ascii="Arial" w:eastAsia="Arial" w:hAnsi="Arial" w:cs="Arial"/>
          <w:i/>
          <w:lang w:val="en-US"/>
        </w:rPr>
        <w:t xml:space="preserve">Máster en Física y Matemáticas </w:t>
      </w:r>
      <w:r w:rsidRPr="00037AD5">
        <w:rPr>
          <w:rFonts w:ascii="Arial" w:eastAsia="Arial" w:hAnsi="Arial" w:cs="Arial"/>
          <w:lang w:val="en-US"/>
        </w:rPr>
        <w:t xml:space="preserve">at USAL, </w:t>
      </w:r>
      <w:r w:rsidRPr="00037AD5">
        <w:rPr>
          <w:rFonts w:ascii="Arial" w:eastAsia="Arial" w:hAnsi="Arial" w:cs="Arial"/>
          <w:i/>
          <w:lang w:val="en-US"/>
        </w:rPr>
        <w:t>Máster en Nanofísica y Materiales Avanzados</w:t>
      </w:r>
      <w:r w:rsidRPr="00037AD5">
        <w:rPr>
          <w:rFonts w:ascii="Arial" w:eastAsia="Arial" w:hAnsi="Arial" w:cs="Arial"/>
          <w:lang w:val="en-US"/>
        </w:rPr>
        <w:t xml:space="preserve"> at UCM, and reach undergraduate students through the seminars +Física. Senior team members usually supervise an average of a couple of Bachelor's theses and one Master's thesis each academic year.</w:t>
      </w:r>
    </w:p>
    <w:p w14:paraId="08625C85" w14:textId="77777777" w:rsidR="00134B9E" w:rsidRPr="00037AD5" w:rsidRDefault="00134B9E">
      <w:pPr>
        <w:spacing w:after="100" w:line="240" w:lineRule="auto"/>
        <w:jc w:val="both"/>
        <w:rPr>
          <w:rFonts w:ascii="Arial" w:eastAsia="Arial" w:hAnsi="Arial" w:cs="Arial"/>
          <w:lang w:val="en-US"/>
        </w:rPr>
      </w:pPr>
    </w:p>
    <w:p w14:paraId="408418E2" w14:textId="77777777" w:rsidR="00134B9E" w:rsidRDefault="00EC6124">
      <w:pPr>
        <w:pStyle w:val="Ttulo1"/>
        <w:spacing w:before="0" w:line="240" w:lineRule="auto"/>
        <w:rPr>
          <w:rFonts w:ascii="Arial" w:eastAsia="Arial" w:hAnsi="Arial" w:cs="Arial"/>
          <w:b/>
          <w:color w:val="000000"/>
          <w:sz w:val="22"/>
          <w:szCs w:val="22"/>
        </w:rPr>
      </w:pPr>
      <w:r>
        <w:rPr>
          <w:rFonts w:ascii="Arial" w:eastAsia="Arial" w:hAnsi="Arial" w:cs="Arial"/>
          <w:b/>
          <w:color w:val="000000"/>
          <w:sz w:val="22"/>
          <w:szCs w:val="22"/>
        </w:rPr>
        <w:t xml:space="preserve">5. Metodología y plan de implementación – Methodology and implementation plan </w:t>
      </w:r>
    </w:p>
    <w:p w14:paraId="26BB6348" w14:textId="77777777" w:rsidR="00134B9E" w:rsidRDefault="00134B9E">
      <w:pPr>
        <w:spacing w:after="100" w:line="240" w:lineRule="auto"/>
        <w:jc w:val="both"/>
        <w:rPr>
          <w:rFonts w:ascii="Arial" w:eastAsia="Arial" w:hAnsi="Arial" w:cs="Arial"/>
          <w:u w:val="single"/>
        </w:rPr>
      </w:pPr>
    </w:p>
    <w:p w14:paraId="7DDC7813" w14:textId="77777777" w:rsidR="00134B9E" w:rsidRDefault="00EC6124">
      <w:pPr>
        <w:spacing w:after="100" w:line="240" w:lineRule="auto"/>
        <w:jc w:val="both"/>
        <w:rPr>
          <w:rFonts w:ascii="Arial" w:eastAsia="Arial" w:hAnsi="Arial" w:cs="Arial"/>
        </w:rPr>
      </w:pPr>
      <w:r>
        <w:rPr>
          <w:rFonts w:ascii="Arial" w:eastAsia="Arial" w:hAnsi="Arial" w:cs="Arial"/>
          <w:u w:val="single"/>
        </w:rPr>
        <w:t>Methodology</w:t>
      </w:r>
    </w:p>
    <w:p w14:paraId="0DF77694"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The fabrication of the van der Waals heterostructures, primarily consisting of monolayer graphene encapsulated in hexagonal boron nitride (hBN), will be performed at the USAL-NANOLAB cleanroom using a dry transfer technique [SAL24a,SAL24b,EST25a]. This involves the exfoliation of high-quality graphene, hBN, and thin graphite flakes onto SiO₂/Si or graphite substrates. When possible, graphite back gates will be integrated, as they have been shown to suppress charge impurity effects from the substrate, leading to enhanced mobility and overall device performance.</w:t>
      </w:r>
    </w:p>
    <w:p w14:paraId="698CC10A"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The stacking process will be conducted under an optical microscope equipped with precision X-Y-Z rotator stages. Flakes will be assembled using a PC/PDMS stamp mounted on a temperature-controlled glass slide, with careful attention to the alignment between graphene and the encapsulating hBN layers to control the twist angle and preserve symmetry-related features [LI-20]. No additional annealing will be applied post-stacking to avoid undesirable relaxation effects.</w:t>
      </w:r>
    </w:p>
    <w:p w14:paraId="57D67C17"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Device geometry will be defined via multiple steps of high-resolution electron beam lithography (EBL), followed by reactive ion etching (RIE) and e-beam evaporation of metallic contacts (typically Cr/Au or Ti/Au). The central focus of this project will be the fabrication of </w:t>
      </w:r>
      <w:r w:rsidRPr="00037AD5">
        <w:rPr>
          <w:rFonts w:ascii="Arial" w:eastAsia="Arial" w:hAnsi="Arial" w:cs="Arial"/>
          <w:b/>
          <w:lang w:val="en-US"/>
        </w:rPr>
        <w:t>THz-optimized device architectures</w:t>
      </w:r>
      <w:r w:rsidRPr="00037AD5">
        <w:rPr>
          <w:rFonts w:ascii="Arial" w:eastAsia="Arial" w:hAnsi="Arial" w:cs="Arial"/>
          <w:lang w:val="en-US"/>
        </w:rPr>
        <w:t xml:space="preserve"> rather than conventional Hall bars. Specifically, we will define ASL-GTeraFETs that incorporate nanostructured antidot superlattices and are integrated with </w:t>
      </w:r>
      <w:r w:rsidRPr="00037AD5">
        <w:rPr>
          <w:rFonts w:ascii="Arial" w:eastAsia="Arial" w:hAnsi="Arial" w:cs="Arial"/>
          <w:b/>
          <w:lang w:val="en-US"/>
        </w:rPr>
        <w:t>on-chip antennas</w:t>
      </w:r>
      <w:r w:rsidRPr="00037AD5">
        <w:rPr>
          <w:rFonts w:ascii="Arial" w:eastAsia="Arial" w:hAnsi="Arial" w:cs="Arial"/>
          <w:lang w:val="en-US"/>
        </w:rPr>
        <w:t>, such as bow-tie and dual-grating gate structures. These antenna features will be patterned either during the initial contact definition or in final steps, depending on alignment and processing constraints [EST25a].</w:t>
      </w:r>
    </w:p>
    <w:p w14:paraId="5A6367EE"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Following fabrication, devices will be mounted via microbonding onto DIL16 or LCC20 holders, making them ready for both DC transport and photocurrent-based THz characterization. </w:t>
      </w:r>
      <w:r w:rsidRPr="00037AD5">
        <w:rPr>
          <w:rFonts w:ascii="Arial" w:eastAsia="Arial" w:hAnsi="Arial" w:cs="Arial"/>
          <w:lang w:val="en-US"/>
        </w:rPr>
        <w:lastRenderedPageBreak/>
        <w:t>Measurements will be carried out in the USAL-Nanolab Terahertz laboratory led by Prof. Yahya Meziani. The THz characterization setup features a closed-cycle cryostat capable of reaching base temperatures of 8 K. Two types of THz sources will be employed: sub-THz emitters operating at 0.3–0.6 THz, and a suite of quantum cascade lasers spanning the 1–5 THz range. Photocurrent measurements will be performed in a zero-bias configuration, allowing for a direct probe of the intrinsic optoelectronic and hydrodynamic responses under THz irradiation.</w:t>
      </w:r>
    </w:p>
    <w:p w14:paraId="3296ECAE"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Although mesoscopic Hall bars may occasionally be fabricated for pre-characterization of symmetry-engineered systems, they are not the target geometry for this proof-of-concept project. Instead, we will focus on </w:t>
      </w:r>
      <w:r w:rsidRPr="00037AD5">
        <w:rPr>
          <w:rFonts w:ascii="Arial" w:eastAsia="Arial" w:hAnsi="Arial" w:cs="Arial"/>
          <w:b/>
          <w:lang w:val="en-US"/>
        </w:rPr>
        <w:t>THz-active device platforms</w:t>
      </w:r>
      <w:r w:rsidRPr="00037AD5">
        <w:rPr>
          <w:rFonts w:ascii="Arial" w:eastAsia="Arial" w:hAnsi="Arial" w:cs="Arial"/>
          <w:lang w:val="en-US"/>
        </w:rPr>
        <w:t xml:space="preserve"> specifically tailored to explore and exploit </w:t>
      </w:r>
      <w:r w:rsidRPr="00037AD5">
        <w:rPr>
          <w:rFonts w:ascii="Arial" w:eastAsia="Arial" w:hAnsi="Arial" w:cs="Arial"/>
          <w:b/>
          <w:lang w:val="en-US"/>
        </w:rPr>
        <w:t>hydrodynamic plasmons and superballistic transport</w:t>
      </w:r>
      <w:r w:rsidRPr="00037AD5">
        <w:rPr>
          <w:rFonts w:ascii="Arial" w:eastAsia="Arial" w:hAnsi="Arial" w:cs="Arial"/>
          <w:lang w:val="en-US"/>
        </w:rPr>
        <w:t xml:space="preserve"> in patterned graphene systems. This includes the design of lateral and split-gate electrostatic geometries where necessary, using either stand-alone or combined gate configurations to optimize THz response.</w:t>
      </w:r>
    </w:p>
    <w:p w14:paraId="6302932B" w14:textId="296BA841" w:rsidR="00134B9E" w:rsidRPr="00037AD5" w:rsidRDefault="00EC6124">
      <w:pPr>
        <w:spacing w:before="240" w:after="240" w:line="240" w:lineRule="auto"/>
        <w:jc w:val="both"/>
        <w:rPr>
          <w:rFonts w:ascii="Arial" w:eastAsia="Arial" w:hAnsi="Arial" w:cs="Arial"/>
          <w:lang w:val="en-US"/>
        </w:rPr>
      </w:pPr>
      <w:r>
        <w:rPr>
          <w:noProof/>
          <w:lang w:val="en-US"/>
        </w:rPr>
        <w:drawing>
          <wp:anchor distT="114300" distB="114300" distL="114300" distR="114300" simplePos="0" relativeHeight="251660288" behindDoc="0" locked="0" layoutInCell="1" hidden="0" allowOverlap="1" wp14:anchorId="6F0AFEC4" wp14:editId="10C30B43">
            <wp:simplePos x="0" y="0"/>
            <wp:positionH relativeFrom="margin">
              <wp:align>right</wp:align>
            </wp:positionH>
            <wp:positionV relativeFrom="paragraph">
              <wp:posOffset>3114040</wp:posOffset>
            </wp:positionV>
            <wp:extent cx="5806440" cy="1339850"/>
            <wp:effectExtent l="0" t="0" r="3810" b="0"/>
            <wp:wrapSquare wrapText="bothSides" distT="114300" distB="114300" distL="114300" distR="114300"/>
            <wp:docPr id="1794672097"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9"/>
                    <a:srcRect/>
                    <a:stretch>
                      <a:fillRect/>
                    </a:stretch>
                  </pic:blipFill>
                  <pic:spPr>
                    <a:xfrm>
                      <a:off x="0" y="0"/>
                      <a:ext cx="5806440" cy="1339850"/>
                    </a:xfrm>
                    <a:prstGeom prst="rect">
                      <a:avLst/>
                    </a:prstGeom>
                    <a:ln/>
                  </pic:spPr>
                </pic:pic>
              </a:graphicData>
            </a:graphic>
            <wp14:sizeRelH relativeFrom="margin">
              <wp14:pctWidth>0</wp14:pctWidth>
            </wp14:sizeRelH>
            <wp14:sizeRelV relativeFrom="margin">
              <wp14:pctHeight>0</wp14:pctHeight>
            </wp14:sizeRelV>
          </wp:anchor>
        </w:drawing>
      </w:r>
      <w:r w:rsidRPr="00037AD5">
        <w:rPr>
          <w:rFonts w:ascii="Arial" w:eastAsia="Arial" w:hAnsi="Arial" w:cs="Arial"/>
          <w:lang w:val="en-US"/>
        </w:rPr>
        <w:t xml:space="preserve">All fabricated devices will undergo electrical pre-screening in a cryofree probe station (Lakeshore) equipped with an external magnetic field. Select samples may also be evaluated in our Cryofree Teslatron system, equipped with a 12 T magnet and rotator inserts (down to 300 mK), or in a Triton dilution refrigerator system (base temperature &lt;10 mK), depending on the experimental requirements. These systems are equipped with comprehensive filtering and anti-electrostatic discharge measures. Standard AC lock-in techniques will be employed. </w:t>
      </w:r>
      <w:r>
        <w:rPr>
          <w:noProof/>
          <w:lang w:val="en-US"/>
        </w:rPr>
        <w:drawing>
          <wp:anchor distT="114300" distB="114300" distL="114300" distR="114300" simplePos="0" relativeHeight="251661312" behindDoc="0" locked="0" layoutInCell="1" hidden="0" allowOverlap="1" wp14:anchorId="0FCB7AAC" wp14:editId="0C2DE045">
            <wp:simplePos x="0" y="0"/>
            <wp:positionH relativeFrom="column">
              <wp:posOffset>-47624</wp:posOffset>
            </wp:positionH>
            <wp:positionV relativeFrom="paragraph">
              <wp:posOffset>1095375</wp:posOffset>
            </wp:positionV>
            <wp:extent cx="3114675" cy="2019300"/>
            <wp:effectExtent l="0" t="0" r="0" b="0"/>
            <wp:wrapSquare wrapText="bothSides" distT="114300" distB="114300" distL="114300" distR="114300"/>
            <wp:docPr id="1794672094"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0"/>
                    <a:srcRect/>
                    <a:stretch>
                      <a:fillRect/>
                    </a:stretch>
                  </pic:blipFill>
                  <pic:spPr>
                    <a:xfrm>
                      <a:off x="0" y="0"/>
                      <a:ext cx="3114675" cy="2019300"/>
                    </a:xfrm>
                    <a:prstGeom prst="rect">
                      <a:avLst/>
                    </a:prstGeom>
                    <a:ln/>
                  </pic:spPr>
                </pic:pic>
              </a:graphicData>
            </a:graphic>
          </wp:anchor>
        </w:drawing>
      </w:r>
      <w:r>
        <w:rPr>
          <w:noProof/>
          <w:lang w:val="en-US"/>
        </w:rPr>
        <w:drawing>
          <wp:anchor distT="114300" distB="114300" distL="114300" distR="114300" simplePos="0" relativeHeight="251662336" behindDoc="0" locked="0" layoutInCell="1" hidden="0" allowOverlap="1" wp14:anchorId="57016AFE" wp14:editId="6C726764">
            <wp:simplePos x="0" y="0"/>
            <wp:positionH relativeFrom="column">
              <wp:posOffset>3067050</wp:posOffset>
            </wp:positionH>
            <wp:positionV relativeFrom="paragraph">
              <wp:posOffset>1095375</wp:posOffset>
            </wp:positionV>
            <wp:extent cx="2698967" cy="2019300"/>
            <wp:effectExtent l="0" t="0" r="0" b="0"/>
            <wp:wrapSquare wrapText="bothSides" distT="114300" distB="114300" distL="114300" distR="114300"/>
            <wp:docPr id="1794672083"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1"/>
                    <a:srcRect/>
                    <a:stretch>
                      <a:fillRect/>
                    </a:stretch>
                  </pic:blipFill>
                  <pic:spPr>
                    <a:xfrm>
                      <a:off x="0" y="0"/>
                      <a:ext cx="2698967" cy="2019300"/>
                    </a:xfrm>
                    <a:prstGeom prst="rect">
                      <a:avLst/>
                    </a:prstGeom>
                    <a:ln/>
                  </pic:spPr>
                </pic:pic>
              </a:graphicData>
            </a:graphic>
          </wp:anchor>
        </w:drawing>
      </w:r>
    </w:p>
    <w:p w14:paraId="74D4CF28" w14:textId="77777777" w:rsidR="00134B9E" w:rsidRPr="00037AD5" w:rsidRDefault="00EC6124">
      <w:pPr>
        <w:spacing w:before="240" w:after="240" w:line="240" w:lineRule="auto"/>
        <w:jc w:val="both"/>
        <w:rPr>
          <w:rFonts w:ascii="Arial" w:eastAsia="Arial" w:hAnsi="Arial" w:cs="Arial"/>
          <w:color w:val="0E101A"/>
          <w:sz w:val="18"/>
          <w:szCs w:val="18"/>
          <w:lang w:val="en-US"/>
        </w:rPr>
      </w:pPr>
      <w:r w:rsidRPr="00037AD5">
        <w:rPr>
          <w:rFonts w:ascii="Arial" w:eastAsia="Arial" w:hAnsi="Arial" w:cs="Arial"/>
          <w:b/>
          <w:color w:val="0E101A"/>
          <w:sz w:val="18"/>
          <w:szCs w:val="18"/>
          <w:lang w:val="en-US"/>
        </w:rPr>
        <w:t>Figure 8</w:t>
      </w:r>
      <w:r w:rsidRPr="00037AD5">
        <w:rPr>
          <w:rFonts w:ascii="Arial" w:eastAsia="Arial" w:hAnsi="Arial" w:cs="Arial"/>
          <w:color w:val="0E101A"/>
          <w:sz w:val="18"/>
          <w:szCs w:val="18"/>
          <w:lang w:val="en-US"/>
        </w:rPr>
        <w:t xml:space="preserve">: Laboratories of USAL-NANOLAB involved in this proposal. Top left: EBL systems in our Nanotechnology clean-room during the fabrication of antidot-superlattices in graphene heterostructures. Top-right: Teslatron system with the VTI insert for magnetotransport characterization from 1.5 to 300 K, up to 12 T magnetic fields. Bottom: Panoramic view of the TeraLab with the optical cryostats and Terahertz sources. </w:t>
      </w:r>
    </w:p>
    <w:p w14:paraId="231C1902"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From a theoretical perspective, the coordination between the two subprojects is essential in determining the optimal conditions for achieving the hydrodynamic electronic transport regime, as well as for the proper interpretation of the laboratory results. One of the main conclusions we have reached, thanks to our prior work, is that the Navier-Stokes equation, as applied to conventional fluids, does not accurately predict all experimental outcomes. For this reason, it was necessary to develop the appropriate formalism, starting from the Boltzmann transport equation. This approach has provided us with unprecedented accuracy, albeit at the cost of increased computational demands. Finite element-based codes have already been developed by SP1, using MATLAB as the computational platform. In particular, we have implemented a </w:t>
      </w:r>
      <w:r w:rsidRPr="00037AD5">
        <w:rPr>
          <w:rFonts w:ascii="Arial" w:eastAsia="Arial" w:hAnsi="Arial" w:cs="Arial"/>
          <w:lang w:val="en-US"/>
        </w:rPr>
        <w:lastRenderedPageBreak/>
        <w:t xml:space="preserve">conforming Galerkin method, where the solution for the electronic distribution function is written in terms of a basis of Taylor-Hood elements [EST25a]. We start from the weak formulation of the Boltzmann equation and transform it into a linear system of equations.  The Boltzmann model describes the ballistic and hydrodynamic regimes. It is important to stress that convergence is slower for the smallest devices, deeper into the ballistic regime, which demand longer computational times. The formalism also includes the corresponding boundary conditions, for which we anticipate that some further finer adjustments will be required, given the crucial role played by the system geometry. </w:t>
      </w:r>
    </w:p>
    <w:p w14:paraId="07F835BA"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u w:val="single"/>
          <w:lang w:val="en-US"/>
        </w:rPr>
        <w:t>Risk assessment and mitigation measures.</w:t>
      </w:r>
      <w:r w:rsidRPr="00037AD5">
        <w:rPr>
          <w:rFonts w:ascii="Arial" w:eastAsia="Arial" w:hAnsi="Arial" w:cs="Arial"/>
          <w:lang w:val="en-US"/>
        </w:rPr>
        <w:t xml:space="preserve"> </w:t>
      </w:r>
      <w:r w:rsidRPr="00037AD5">
        <w:rPr>
          <w:rFonts w:ascii="Arial" w:eastAsia="Arial" w:hAnsi="Arial" w:cs="Arial"/>
          <w:lang w:val="en-US"/>
        </w:rPr>
        <w:tab/>
        <w:t xml:space="preserve"> </w:t>
      </w:r>
      <w:r w:rsidRPr="00037AD5">
        <w:rPr>
          <w:rFonts w:ascii="Arial" w:eastAsia="Arial" w:hAnsi="Arial" w:cs="Arial"/>
          <w:lang w:val="en-US"/>
        </w:rPr>
        <w:tab/>
        <w:t xml:space="preserve"> </w:t>
      </w:r>
      <w:r w:rsidRPr="00037AD5">
        <w:rPr>
          <w:rFonts w:ascii="Arial" w:eastAsia="Arial" w:hAnsi="Arial" w:cs="Arial"/>
          <w:lang w:val="en-US"/>
        </w:rPr>
        <w:tab/>
      </w:r>
    </w:p>
    <w:p w14:paraId="5831C56F"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The SP1 team has a long track record of generating high-mobility devices based on graphene-like heterostructures. From a theoretical perspective, the team members of SP2 are experts in modeling the various transport regimes in graphene-like heterostructures using the Boltzmann equation. Below, we assess the likelihood and the severity of the risks associated with every proposed objective of the research plan.</w:t>
      </w:r>
    </w:p>
    <w:p w14:paraId="08701B41" w14:textId="77777777" w:rsidR="00134B9E" w:rsidRPr="00037AD5" w:rsidRDefault="00134B9E">
      <w:pPr>
        <w:spacing w:after="100" w:line="240" w:lineRule="auto"/>
        <w:jc w:val="both"/>
        <w:rPr>
          <w:rFonts w:ascii="Arial" w:eastAsia="Arial" w:hAnsi="Arial" w:cs="Arial"/>
          <w:lang w:val="en-US"/>
        </w:rPr>
      </w:pPr>
    </w:p>
    <w:sdt>
      <w:sdtPr>
        <w:tag w:val="goog_rdk_0"/>
        <w:id w:val="-2129470043"/>
        <w:lock w:val="contentLocked"/>
      </w:sdtPr>
      <w:sdtEndPr/>
      <w:sdtContent>
        <w:tbl>
          <w:tblPr>
            <w:tblStyle w:val="a"/>
            <w:tblW w:w="90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50"/>
            <w:gridCol w:w="1110"/>
            <w:gridCol w:w="4785"/>
          </w:tblGrid>
          <w:tr w:rsidR="00134B9E" w14:paraId="0DB43566" w14:textId="77777777">
            <w:tc>
              <w:tcPr>
                <w:tcW w:w="3150" w:type="dxa"/>
                <w:shd w:val="clear" w:color="auto" w:fill="FFD966"/>
                <w:tcMar>
                  <w:top w:w="100" w:type="dxa"/>
                  <w:left w:w="100" w:type="dxa"/>
                  <w:bottom w:w="100" w:type="dxa"/>
                  <w:right w:w="100" w:type="dxa"/>
                </w:tcMar>
                <w:vAlign w:val="center"/>
              </w:tcPr>
              <w:p w14:paraId="4FD23D9E" w14:textId="77777777" w:rsidR="00134B9E" w:rsidRDefault="00EC6124">
                <w:pPr>
                  <w:widowControl w:val="0"/>
                  <w:spacing w:after="0" w:line="240" w:lineRule="auto"/>
                  <w:rPr>
                    <w:rFonts w:ascii="Arial" w:eastAsia="Arial" w:hAnsi="Arial" w:cs="Arial"/>
                    <w:b/>
                  </w:rPr>
                </w:pPr>
                <w:r>
                  <w:rPr>
                    <w:rFonts w:ascii="Arial" w:eastAsia="Arial" w:hAnsi="Arial" w:cs="Arial"/>
                    <w:b/>
                  </w:rPr>
                  <w:t xml:space="preserve">Description of risks in the  level of i) likelihood and </w:t>
                </w:r>
              </w:p>
              <w:p w14:paraId="4F92A84B" w14:textId="77777777" w:rsidR="00134B9E" w:rsidRDefault="00EC6124">
                <w:pPr>
                  <w:widowControl w:val="0"/>
                  <w:spacing w:after="0" w:line="240" w:lineRule="auto"/>
                  <w:rPr>
                    <w:rFonts w:ascii="Arial" w:eastAsia="Arial" w:hAnsi="Arial" w:cs="Arial"/>
                    <w:b/>
                  </w:rPr>
                </w:pPr>
                <w:r>
                  <w:rPr>
                    <w:rFonts w:ascii="Arial" w:eastAsia="Arial" w:hAnsi="Arial" w:cs="Arial"/>
                    <w:b/>
                  </w:rPr>
                  <w:t>ii) severity: Low (L), Medium (M), High (H)</w:t>
                </w:r>
              </w:p>
            </w:tc>
            <w:tc>
              <w:tcPr>
                <w:tcW w:w="1110" w:type="dxa"/>
                <w:shd w:val="clear" w:color="auto" w:fill="FFD966"/>
                <w:tcMar>
                  <w:top w:w="100" w:type="dxa"/>
                  <w:left w:w="100" w:type="dxa"/>
                  <w:bottom w:w="100" w:type="dxa"/>
                  <w:right w:w="100" w:type="dxa"/>
                </w:tcMar>
                <w:vAlign w:val="center"/>
              </w:tcPr>
              <w:p w14:paraId="484F338A" w14:textId="77777777" w:rsidR="00134B9E" w:rsidRDefault="00EC6124">
                <w:pPr>
                  <w:widowControl w:val="0"/>
                  <w:spacing w:after="0" w:line="240" w:lineRule="auto"/>
                  <w:jc w:val="center"/>
                  <w:rPr>
                    <w:rFonts w:ascii="Arial" w:eastAsia="Arial" w:hAnsi="Arial" w:cs="Arial"/>
                    <w:b/>
                  </w:rPr>
                </w:pPr>
                <w:r>
                  <w:rPr>
                    <w:rFonts w:ascii="Arial" w:eastAsia="Arial" w:hAnsi="Arial" w:cs="Arial"/>
                    <w:b/>
                  </w:rPr>
                  <w:t>WPs</w:t>
                </w:r>
              </w:p>
              <w:p w14:paraId="21791D5C" w14:textId="77777777" w:rsidR="00134B9E" w:rsidRDefault="00EC6124">
                <w:pPr>
                  <w:widowControl w:val="0"/>
                  <w:spacing w:after="0" w:line="240" w:lineRule="auto"/>
                  <w:jc w:val="center"/>
                  <w:rPr>
                    <w:rFonts w:ascii="Arial" w:eastAsia="Arial" w:hAnsi="Arial" w:cs="Arial"/>
                    <w:b/>
                  </w:rPr>
                </w:pPr>
                <w:r>
                  <w:rPr>
                    <w:rFonts w:ascii="Arial" w:eastAsia="Arial" w:hAnsi="Arial" w:cs="Arial"/>
                    <w:b/>
                  </w:rPr>
                  <w:t>involved</w:t>
                </w:r>
              </w:p>
            </w:tc>
            <w:tc>
              <w:tcPr>
                <w:tcW w:w="4785" w:type="dxa"/>
                <w:shd w:val="clear" w:color="auto" w:fill="FFD966"/>
                <w:tcMar>
                  <w:top w:w="100" w:type="dxa"/>
                  <w:left w:w="100" w:type="dxa"/>
                  <w:bottom w:w="100" w:type="dxa"/>
                  <w:right w:w="100" w:type="dxa"/>
                </w:tcMar>
                <w:vAlign w:val="center"/>
              </w:tcPr>
              <w:p w14:paraId="3E681F4C" w14:textId="77777777" w:rsidR="00134B9E" w:rsidRDefault="00EC6124">
                <w:pPr>
                  <w:widowControl w:val="0"/>
                  <w:spacing w:after="0" w:line="240" w:lineRule="auto"/>
                  <w:jc w:val="center"/>
                  <w:rPr>
                    <w:rFonts w:ascii="Arial" w:eastAsia="Arial" w:hAnsi="Arial" w:cs="Arial"/>
                    <w:b/>
                  </w:rPr>
                </w:pPr>
                <w:r>
                  <w:rPr>
                    <w:rFonts w:ascii="Arial" w:eastAsia="Arial" w:hAnsi="Arial" w:cs="Arial"/>
                    <w:b/>
                  </w:rPr>
                  <w:t>Proposed risk-mitigation measures</w:t>
                </w:r>
              </w:p>
              <w:p w14:paraId="3B858E63" w14:textId="77777777" w:rsidR="00134B9E" w:rsidRDefault="00EC6124">
                <w:pPr>
                  <w:widowControl w:val="0"/>
                  <w:spacing w:after="0" w:line="240" w:lineRule="auto"/>
                  <w:jc w:val="center"/>
                  <w:rPr>
                    <w:rFonts w:ascii="Arial" w:eastAsia="Arial" w:hAnsi="Arial" w:cs="Arial"/>
                    <w:b/>
                  </w:rPr>
                </w:pPr>
                <w:r>
                  <w:rPr>
                    <w:rFonts w:ascii="Arial" w:eastAsia="Arial" w:hAnsi="Arial" w:cs="Arial"/>
                    <w:b/>
                  </w:rPr>
                  <w:t>and contingency plan</w:t>
                </w:r>
              </w:p>
            </w:tc>
          </w:tr>
          <w:tr w:rsidR="00134B9E" w14:paraId="3C4F110E" w14:textId="77777777">
            <w:tc>
              <w:tcPr>
                <w:tcW w:w="3150" w:type="dxa"/>
                <w:shd w:val="clear" w:color="auto" w:fill="auto"/>
                <w:tcMar>
                  <w:top w:w="100" w:type="dxa"/>
                  <w:left w:w="100" w:type="dxa"/>
                  <w:bottom w:w="100" w:type="dxa"/>
                  <w:right w:w="100" w:type="dxa"/>
                </w:tcMar>
                <w:vAlign w:val="center"/>
              </w:tcPr>
              <w:p w14:paraId="55713DD4" w14:textId="77777777" w:rsidR="00134B9E" w:rsidRDefault="00EC6124">
                <w:pPr>
                  <w:widowControl w:val="0"/>
                  <w:spacing w:after="0" w:line="240" w:lineRule="auto"/>
                  <w:rPr>
                    <w:rFonts w:ascii="Arial" w:eastAsia="Arial" w:hAnsi="Arial" w:cs="Arial"/>
                    <w:sz w:val="20"/>
                    <w:szCs w:val="20"/>
                  </w:rPr>
                </w:pPr>
                <w:r>
                  <w:rPr>
                    <w:rFonts w:ascii="Arial" w:eastAsia="Arial" w:hAnsi="Arial" w:cs="Arial"/>
                    <w:sz w:val="20"/>
                    <w:szCs w:val="20"/>
                  </w:rPr>
                  <w:t>Delay in recruitment: i) L; ii) L</w:t>
                </w:r>
              </w:p>
              <w:p w14:paraId="745DDB8F" w14:textId="77777777" w:rsidR="00134B9E" w:rsidRDefault="00134B9E">
                <w:pPr>
                  <w:widowControl w:val="0"/>
                  <w:spacing w:after="0" w:line="240" w:lineRule="auto"/>
                  <w:jc w:val="both"/>
                  <w:rPr>
                    <w:rFonts w:ascii="Arial" w:eastAsia="Arial" w:hAnsi="Arial" w:cs="Arial"/>
                    <w:sz w:val="20"/>
                    <w:szCs w:val="20"/>
                  </w:rPr>
                </w:pPr>
              </w:p>
              <w:p w14:paraId="4FBCEC38" w14:textId="77777777" w:rsidR="00134B9E" w:rsidRDefault="00134B9E">
                <w:pPr>
                  <w:widowControl w:val="0"/>
                  <w:pBdr>
                    <w:top w:val="nil"/>
                    <w:left w:val="nil"/>
                    <w:bottom w:val="nil"/>
                    <w:right w:val="nil"/>
                    <w:between w:val="nil"/>
                  </w:pBdr>
                  <w:spacing w:after="0" w:line="240" w:lineRule="auto"/>
                  <w:jc w:val="both"/>
                  <w:rPr>
                    <w:rFonts w:ascii="Arial" w:eastAsia="Arial" w:hAnsi="Arial" w:cs="Arial"/>
                    <w:sz w:val="20"/>
                    <w:szCs w:val="20"/>
                  </w:rPr>
                </w:pPr>
              </w:p>
            </w:tc>
            <w:tc>
              <w:tcPr>
                <w:tcW w:w="1110" w:type="dxa"/>
                <w:shd w:val="clear" w:color="auto" w:fill="auto"/>
                <w:tcMar>
                  <w:top w:w="100" w:type="dxa"/>
                  <w:left w:w="100" w:type="dxa"/>
                  <w:bottom w:w="100" w:type="dxa"/>
                  <w:right w:w="100" w:type="dxa"/>
                </w:tcMar>
                <w:vAlign w:val="center"/>
              </w:tcPr>
              <w:p w14:paraId="1DBEF025"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 xml:space="preserve">WP1 </w:t>
                </w:r>
              </w:p>
              <w:p w14:paraId="410F8013"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 xml:space="preserve">and </w:t>
                </w:r>
              </w:p>
              <w:p w14:paraId="0AB1416E"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WP2</w:t>
                </w:r>
              </w:p>
            </w:tc>
            <w:tc>
              <w:tcPr>
                <w:tcW w:w="4785" w:type="dxa"/>
                <w:shd w:val="clear" w:color="auto" w:fill="auto"/>
                <w:tcMar>
                  <w:top w:w="100" w:type="dxa"/>
                  <w:left w:w="100" w:type="dxa"/>
                  <w:bottom w:w="100" w:type="dxa"/>
                  <w:right w:w="100" w:type="dxa"/>
                </w:tcMar>
                <w:vAlign w:val="center"/>
              </w:tcPr>
              <w:p w14:paraId="4D27DB59" w14:textId="77777777" w:rsidR="00134B9E" w:rsidRDefault="00EC6124">
                <w:pPr>
                  <w:widowControl w:val="0"/>
                  <w:spacing w:after="0" w:line="240" w:lineRule="auto"/>
                  <w:jc w:val="both"/>
                  <w:rPr>
                    <w:rFonts w:ascii="Arial" w:eastAsia="Arial" w:hAnsi="Arial" w:cs="Arial"/>
                    <w:sz w:val="20"/>
                    <w:szCs w:val="20"/>
                  </w:rPr>
                </w:pPr>
                <w:r>
                  <w:rPr>
                    <w:rFonts w:ascii="Arial" w:eastAsia="Arial" w:hAnsi="Arial" w:cs="Arial"/>
                    <w:sz w:val="20"/>
                    <w:szCs w:val="20"/>
                  </w:rPr>
                  <w:t>For WP1, the recruitment of both the research technician and the postdoctoral research associate is scheduled to begin well in advance, with contract start dates planned for month 12 of the 24-month project timeline. Given this lead time, we assess the likelihood of recruitment delays as low. Both positions will be widely advertised via established academic and professional platforms, as well as institutional and project-related communication channels. This extended preparation window of 12 months ensures ample time for candidate identification, selection, and onboarding. As a result, no significant delays are anticipated in staffing WP1</w:t>
                </w:r>
              </w:p>
              <w:p w14:paraId="0D16BCA0" w14:textId="77777777" w:rsidR="00134B9E" w:rsidRDefault="00EC6124">
                <w:pPr>
                  <w:widowControl w:val="0"/>
                  <w:spacing w:after="0" w:line="240" w:lineRule="auto"/>
                  <w:jc w:val="both"/>
                  <w:rPr>
                    <w:rFonts w:ascii="Arial" w:eastAsia="Arial" w:hAnsi="Arial" w:cs="Arial"/>
                    <w:sz w:val="20"/>
                    <w:szCs w:val="20"/>
                  </w:rPr>
                </w:pPr>
                <w:r>
                  <w:rPr>
                    <w:rFonts w:ascii="Arial" w:eastAsia="Arial" w:hAnsi="Arial" w:cs="Arial"/>
                    <w:sz w:val="20"/>
                    <w:szCs w:val="20"/>
                  </w:rPr>
                  <w:t>For WP2, the expected postdoctoral research associate (Jorge Estrada-Álvarez) is finishing the PhD Thesis, and the hiring and transition will be seamless.</w:t>
                </w:r>
              </w:p>
            </w:tc>
          </w:tr>
          <w:tr w:rsidR="00134B9E" w14:paraId="689B9A1E" w14:textId="77777777">
            <w:tc>
              <w:tcPr>
                <w:tcW w:w="3150" w:type="dxa"/>
                <w:shd w:val="clear" w:color="auto" w:fill="EFEFEF"/>
                <w:tcMar>
                  <w:top w:w="100" w:type="dxa"/>
                  <w:left w:w="100" w:type="dxa"/>
                  <w:bottom w:w="100" w:type="dxa"/>
                  <w:right w:w="100" w:type="dxa"/>
                </w:tcMar>
                <w:vAlign w:val="center"/>
              </w:tcPr>
              <w:p w14:paraId="404E1223" w14:textId="77777777" w:rsidR="00134B9E" w:rsidRDefault="00EC6124">
                <w:pPr>
                  <w:widowControl w:val="0"/>
                  <w:spacing w:after="0" w:line="240" w:lineRule="auto"/>
                  <w:jc w:val="both"/>
                  <w:rPr>
                    <w:rFonts w:ascii="Arial" w:eastAsia="Arial" w:hAnsi="Arial" w:cs="Arial"/>
                    <w:sz w:val="20"/>
                    <w:szCs w:val="20"/>
                  </w:rPr>
                </w:pPr>
                <w:r>
                  <w:rPr>
                    <w:rFonts w:ascii="Arial" w:eastAsia="Arial" w:hAnsi="Arial" w:cs="Arial"/>
                    <w:sz w:val="20"/>
                    <w:szCs w:val="20"/>
                  </w:rPr>
                  <w:t>Delay in the fabrication and/or</w:t>
                </w:r>
              </w:p>
              <w:p w14:paraId="0E1AB092" w14:textId="77777777" w:rsidR="00134B9E" w:rsidRDefault="00EC6124">
                <w:pPr>
                  <w:widowControl w:val="0"/>
                  <w:spacing w:after="0" w:line="240" w:lineRule="auto"/>
                  <w:rPr>
                    <w:rFonts w:ascii="Arial" w:eastAsia="Arial" w:hAnsi="Arial" w:cs="Arial"/>
                    <w:sz w:val="20"/>
                    <w:szCs w:val="20"/>
                  </w:rPr>
                </w:pPr>
                <w:r>
                  <w:rPr>
                    <w:rFonts w:ascii="Arial" w:eastAsia="Arial" w:hAnsi="Arial" w:cs="Arial"/>
                    <w:sz w:val="20"/>
                    <w:szCs w:val="20"/>
                  </w:rPr>
                  <w:t>integration of the 2D-based devices, e.g., due to outage of equipment, interruption, or upgrades of instruments and facilities: i) L; ii) H</w:t>
                </w:r>
              </w:p>
            </w:tc>
            <w:tc>
              <w:tcPr>
                <w:tcW w:w="1110" w:type="dxa"/>
                <w:shd w:val="clear" w:color="auto" w:fill="EFEFEF"/>
                <w:tcMar>
                  <w:top w:w="100" w:type="dxa"/>
                  <w:left w:w="100" w:type="dxa"/>
                  <w:bottom w:w="100" w:type="dxa"/>
                  <w:right w:w="100" w:type="dxa"/>
                </w:tcMar>
                <w:vAlign w:val="center"/>
              </w:tcPr>
              <w:p w14:paraId="30F47B13"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 xml:space="preserve">WP1 </w:t>
                </w:r>
              </w:p>
              <w:p w14:paraId="2E225DEC"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 xml:space="preserve">and </w:t>
                </w:r>
              </w:p>
              <w:p w14:paraId="7779EE4A"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WP2</w:t>
                </w:r>
              </w:p>
            </w:tc>
            <w:tc>
              <w:tcPr>
                <w:tcW w:w="4785" w:type="dxa"/>
                <w:shd w:val="clear" w:color="auto" w:fill="EFEFEF"/>
                <w:tcMar>
                  <w:top w:w="100" w:type="dxa"/>
                  <w:left w:w="100" w:type="dxa"/>
                  <w:bottom w:w="100" w:type="dxa"/>
                  <w:right w:w="100" w:type="dxa"/>
                </w:tcMar>
                <w:vAlign w:val="center"/>
              </w:tcPr>
              <w:p w14:paraId="1BB778A2" w14:textId="77777777" w:rsidR="00134B9E" w:rsidRDefault="00EC6124">
                <w:pPr>
                  <w:widowControl w:val="0"/>
                  <w:spacing w:before="240" w:after="240" w:line="240" w:lineRule="auto"/>
                  <w:jc w:val="both"/>
                  <w:rPr>
                    <w:rFonts w:ascii="Arial" w:eastAsia="Arial" w:hAnsi="Arial" w:cs="Arial"/>
                    <w:sz w:val="20"/>
                    <w:szCs w:val="20"/>
                  </w:rPr>
                </w:pPr>
                <w:r>
                  <w:rPr>
                    <w:rFonts w:ascii="Arial" w:eastAsia="Arial" w:hAnsi="Arial" w:cs="Arial"/>
                    <w:sz w:val="20"/>
                    <w:szCs w:val="20"/>
                  </w:rPr>
                  <w:t xml:space="preserve">In the event that our primary cleanroom facility is unavailable, we will carry out the necessary fabrication and processing steps using the facilities provided by our collaborators within the </w:t>
                </w:r>
                <w:r>
                  <w:rPr>
                    <w:rFonts w:ascii="Arial" w:eastAsia="Arial" w:hAnsi="Arial" w:cs="Arial"/>
                    <w:i/>
                    <w:sz w:val="20"/>
                    <w:szCs w:val="20"/>
                  </w:rPr>
                  <w:t>Red de Excelencia Nanolito</w:t>
                </w:r>
                <w:r>
                  <w:rPr>
                    <w:rFonts w:ascii="Arial" w:eastAsia="Arial" w:hAnsi="Arial" w:cs="Arial"/>
                    <w:sz w:val="20"/>
                    <w:szCs w:val="20"/>
                  </w:rPr>
                  <w:t>, of which we are one of the officially recognized National nodes. This collaboration will ensure access to equivalent technical infrastructure, allowing us to avoid compromising the project's quality or schedule should our infrastructure not be available.</w:t>
                </w:r>
              </w:p>
            </w:tc>
          </w:tr>
          <w:tr w:rsidR="00134B9E" w14:paraId="3FFAA283" w14:textId="77777777">
            <w:tc>
              <w:tcPr>
                <w:tcW w:w="3150" w:type="dxa"/>
                <w:shd w:val="clear" w:color="auto" w:fill="auto"/>
                <w:tcMar>
                  <w:top w:w="100" w:type="dxa"/>
                  <w:left w:w="100" w:type="dxa"/>
                  <w:bottom w:w="100" w:type="dxa"/>
                  <w:right w:w="100" w:type="dxa"/>
                </w:tcMar>
                <w:vAlign w:val="center"/>
              </w:tcPr>
              <w:p w14:paraId="347464BD" w14:textId="77777777" w:rsidR="00134B9E" w:rsidRDefault="00EC6124">
                <w:pPr>
                  <w:widowControl w:val="0"/>
                  <w:pBdr>
                    <w:top w:val="nil"/>
                    <w:left w:val="nil"/>
                    <w:bottom w:val="nil"/>
                    <w:right w:val="nil"/>
                    <w:between w:val="nil"/>
                  </w:pBdr>
                  <w:spacing w:after="0" w:line="240" w:lineRule="auto"/>
                  <w:rPr>
                    <w:rFonts w:ascii="Arial" w:eastAsia="Arial" w:hAnsi="Arial" w:cs="Arial"/>
                    <w:sz w:val="20"/>
                    <w:szCs w:val="20"/>
                  </w:rPr>
                </w:pPr>
                <w:r>
                  <w:rPr>
                    <w:rFonts w:ascii="Arial" w:eastAsia="Arial" w:hAnsi="Arial" w:cs="Arial"/>
                    <w:sz w:val="20"/>
                    <w:szCs w:val="20"/>
                  </w:rPr>
                  <w:t>Delay in the reception of CVD-grown materials and heterostructures: i) L; ii) L</w:t>
                </w:r>
              </w:p>
            </w:tc>
            <w:tc>
              <w:tcPr>
                <w:tcW w:w="1110" w:type="dxa"/>
                <w:shd w:val="clear" w:color="auto" w:fill="auto"/>
                <w:tcMar>
                  <w:top w:w="100" w:type="dxa"/>
                  <w:left w:w="100" w:type="dxa"/>
                  <w:bottom w:w="100" w:type="dxa"/>
                  <w:right w:w="100" w:type="dxa"/>
                </w:tcMar>
                <w:vAlign w:val="center"/>
              </w:tcPr>
              <w:p w14:paraId="70497974"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WP1</w:t>
                </w:r>
              </w:p>
            </w:tc>
            <w:tc>
              <w:tcPr>
                <w:tcW w:w="4785" w:type="dxa"/>
                <w:shd w:val="clear" w:color="auto" w:fill="auto"/>
                <w:tcMar>
                  <w:top w:w="100" w:type="dxa"/>
                  <w:left w:w="100" w:type="dxa"/>
                  <w:bottom w:w="100" w:type="dxa"/>
                  <w:right w:w="100" w:type="dxa"/>
                </w:tcMar>
                <w:vAlign w:val="center"/>
              </w:tcPr>
              <w:p w14:paraId="4DC54C54" w14:textId="77777777" w:rsidR="00134B9E" w:rsidRDefault="00EC6124">
                <w:pPr>
                  <w:widowControl w:val="0"/>
                  <w:spacing w:before="240" w:after="240" w:line="240" w:lineRule="auto"/>
                  <w:jc w:val="both"/>
                  <w:rPr>
                    <w:rFonts w:ascii="Arial" w:eastAsia="Arial" w:hAnsi="Arial" w:cs="Arial"/>
                    <w:sz w:val="20"/>
                    <w:szCs w:val="20"/>
                  </w:rPr>
                </w:pPr>
                <w:r>
                  <w:rPr>
                    <w:rFonts w:ascii="Arial" w:eastAsia="Arial" w:hAnsi="Arial" w:cs="Arial"/>
                    <w:sz w:val="20"/>
                    <w:szCs w:val="20"/>
                  </w:rPr>
                  <w:t xml:space="preserve">The use of chemically vapor-deposited (CVD) crystals, primarily monolayer graphene and fully hBN-encapsulated graphene, is essential for demonstrating the </w:t>
                </w:r>
                <w:r>
                  <w:rPr>
                    <w:rFonts w:ascii="Arial" w:eastAsia="Arial" w:hAnsi="Arial" w:cs="Arial"/>
                    <w:b/>
                    <w:sz w:val="20"/>
                    <w:szCs w:val="20"/>
                  </w:rPr>
                  <w:t>scalability and potential for mass production</w:t>
                </w:r>
                <w:r>
                  <w:rPr>
                    <w:rFonts w:ascii="Arial" w:eastAsia="Arial" w:hAnsi="Arial" w:cs="Arial"/>
                    <w:sz w:val="20"/>
                    <w:szCs w:val="20"/>
                  </w:rPr>
                  <w:t xml:space="preserve"> of the devices developed in this </w:t>
                </w:r>
                <w:r>
                  <w:rPr>
                    <w:rFonts w:ascii="Arial" w:eastAsia="Arial" w:hAnsi="Arial" w:cs="Arial"/>
                    <w:sz w:val="20"/>
                    <w:szCs w:val="20"/>
                  </w:rPr>
                  <w:lastRenderedPageBreak/>
                  <w:t xml:space="preserve">proof-of-concept project. These materials are central to </w:t>
                </w:r>
                <w:r>
                  <w:rPr>
                    <w:rFonts w:ascii="Arial" w:eastAsia="Arial" w:hAnsi="Arial" w:cs="Arial"/>
                    <w:b/>
                    <w:sz w:val="20"/>
                    <w:szCs w:val="20"/>
                  </w:rPr>
                  <w:t>Activity 1.3</w:t>
                </w:r>
                <w:r>
                  <w:rPr>
                    <w:rFonts w:ascii="Arial" w:eastAsia="Arial" w:hAnsi="Arial" w:cs="Arial"/>
                    <w:sz w:val="20"/>
                    <w:szCs w:val="20"/>
                  </w:rPr>
                  <w:t>, which focuses on transitioning from exfoliated to scalable CVD-grown platforms.</w:t>
                </w:r>
              </w:p>
              <w:p w14:paraId="250E0FA7" w14:textId="77777777" w:rsidR="00134B9E" w:rsidRDefault="00EC6124">
                <w:pPr>
                  <w:widowControl w:val="0"/>
                  <w:spacing w:before="240" w:after="240" w:line="240" w:lineRule="auto"/>
                  <w:jc w:val="both"/>
                  <w:rPr>
                    <w:rFonts w:ascii="Arial" w:eastAsia="Arial" w:hAnsi="Arial" w:cs="Arial"/>
                    <w:sz w:val="20"/>
                    <w:szCs w:val="20"/>
                  </w:rPr>
                </w:pPr>
                <w:r>
                  <w:rPr>
                    <w:rFonts w:ascii="Arial" w:eastAsia="Arial" w:hAnsi="Arial" w:cs="Arial"/>
                    <w:sz w:val="20"/>
                    <w:szCs w:val="20"/>
                  </w:rPr>
                  <w:t xml:space="preserve">To mitigate risks associated with material availability, we have secured </w:t>
                </w:r>
                <w:r>
                  <w:rPr>
                    <w:rFonts w:ascii="Arial" w:eastAsia="Arial" w:hAnsi="Arial" w:cs="Arial"/>
                    <w:b/>
                    <w:sz w:val="20"/>
                    <w:szCs w:val="20"/>
                  </w:rPr>
                  <w:t>multiple trusted sources</w:t>
                </w:r>
                <w:r>
                  <w:rPr>
                    <w:rFonts w:ascii="Arial" w:eastAsia="Arial" w:hAnsi="Arial" w:cs="Arial"/>
                    <w:sz w:val="20"/>
                    <w:szCs w:val="20"/>
                  </w:rPr>
                  <w:t xml:space="preserve"> of CVD samples. Our primary collaborators include </w:t>
                </w:r>
                <w:r>
                  <w:rPr>
                    <w:rFonts w:ascii="Arial" w:eastAsia="Arial" w:hAnsi="Arial" w:cs="Arial"/>
                    <w:b/>
                    <w:sz w:val="20"/>
                    <w:szCs w:val="20"/>
                  </w:rPr>
                  <w:t>Camilla Coletti’s group at IIT–Laboratorio NEST (Pisa, Italy)</w:t>
                </w:r>
                <w:r>
                  <w:rPr>
                    <w:rFonts w:ascii="Arial" w:eastAsia="Arial" w:hAnsi="Arial" w:cs="Arial"/>
                    <w:sz w:val="20"/>
                    <w:szCs w:val="20"/>
                  </w:rPr>
                  <w:t xml:space="preserve"> and </w:t>
                </w:r>
                <w:r>
                  <w:rPr>
                    <w:rFonts w:ascii="Arial" w:eastAsia="Arial" w:hAnsi="Arial" w:cs="Arial"/>
                    <w:b/>
                    <w:sz w:val="20"/>
                    <w:szCs w:val="20"/>
                  </w:rPr>
                  <w:t>Prof. Hilke’s group at McGill University (Canada)</w:t>
                </w:r>
                <w:r>
                  <w:rPr>
                    <w:rFonts w:ascii="Arial" w:eastAsia="Arial" w:hAnsi="Arial" w:cs="Arial"/>
                    <w:sz w:val="20"/>
                    <w:szCs w:val="20"/>
                  </w:rPr>
                  <w:t xml:space="preserve">, both of which have extensive expertise and a strong track record in the growth of high-quality CVD graphene and heterostructures. </w:t>
                </w:r>
              </w:p>
              <w:p w14:paraId="277B4B0B" w14:textId="77777777" w:rsidR="00134B9E" w:rsidRDefault="00EC6124">
                <w:pPr>
                  <w:widowControl w:val="0"/>
                  <w:spacing w:before="240" w:after="240" w:line="240" w:lineRule="auto"/>
                  <w:jc w:val="both"/>
                  <w:rPr>
                    <w:rFonts w:ascii="Arial" w:eastAsia="Arial" w:hAnsi="Arial" w:cs="Arial"/>
                    <w:sz w:val="20"/>
                    <w:szCs w:val="20"/>
                  </w:rPr>
                </w:pPr>
                <w:r>
                  <w:rPr>
                    <w:rFonts w:ascii="Arial" w:eastAsia="Arial" w:hAnsi="Arial" w:cs="Arial"/>
                    <w:sz w:val="20"/>
                    <w:szCs w:val="20"/>
                  </w:rPr>
                  <w:t xml:space="preserve">Activity 1.3 is scheduled to begin in </w:t>
                </w:r>
                <w:r>
                  <w:rPr>
                    <w:rFonts w:ascii="Arial" w:eastAsia="Arial" w:hAnsi="Arial" w:cs="Arial"/>
                    <w:b/>
                    <w:sz w:val="20"/>
                    <w:szCs w:val="20"/>
                  </w:rPr>
                  <w:t>month 12</w:t>
                </w:r>
                <w:r>
                  <w:rPr>
                    <w:rFonts w:ascii="Arial" w:eastAsia="Arial" w:hAnsi="Arial" w:cs="Arial"/>
                    <w:sz w:val="20"/>
                    <w:szCs w:val="20"/>
                  </w:rPr>
                  <w:t xml:space="preserve">, allowing ample lead time for external collaborators to prepare and deliver the required samples. Given the </w:t>
                </w:r>
                <w:r>
                  <w:rPr>
                    <w:rFonts w:ascii="Arial" w:eastAsia="Arial" w:hAnsi="Arial" w:cs="Arial"/>
                    <w:b/>
                    <w:sz w:val="20"/>
                    <w:szCs w:val="20"/>
                  </w:rPr>
                  <w:t>redundancy in supply sources</w:t>
                </w:r>
                <w:r>
                  <w:rPr>
                    <w:rFonts w:ascii="Arial" w:eastAsia="Arial" w:hAnsi="Arial" w:cs="Arial"/>
                    <w:sz w:val="20"/>
                    <w:szCs w:val="20"/>
                  </w:rPr>
                  <w:t xml:space="preserve"> and the realistic timeline, we </w:t>
                </w:r>
                <w:r>
                  <w:rPr>
                    <w:rFonts w:ascii="Arial" w:eastAsia="Arial" w:hAnsi="Arial" w:cs="Arial"/>
                    <w:b/>
                    <w:sz w:val="20"/>
                    <w:szCs w:val="20"/>
                  </w:rPr>
                  <w:t>do not anticipate significant delays</w:t>
                </w:r>
                <w:r>
                  <w:rPr>
                    <w:rFonts w:ascii="Arial" w:eastAsia="Arial" w:hAnsi="Arial" w:cs="Arial"/>
                    <w:sz w:val="20"/>
                    <w:szCs w:val="20"/>
                  </w:rPr>
                  <w:t xml:space="preserve"> or disruptions in obtaining the necessary materials. Nonetheless, we will maintain regular communication with all collaborators and suppliers to monitor progress and address any unforeseen issues promptly.</w:t>
                </w:r>
              </w:p>
            </w:tc>
          </w:tr>
          <w:tr w:rsidR="00134B9E" w14:paraId="73778469" w14:textId="77777777">
            <w:tc>
              <w:tcPr>
                <w:tcW w:w="3150" w:type="dxa"/>
                <w:shd w:val="clear" w:color="auto" w:fill="EFEFEF"/>
                <w:tcMar>
                  <w:top w:w="100" w:type="dxa"/>
                  <w:left w:w="100" w:type="dxa"/>
                  <w:bottom w:w="100" w:type="dxa"/>
                  <w:right w:w="100" w:type="dxa"/>
                </w:tcMar>
                <w:vAlign w:val="center"/>
              </w:tcPr>
              <w:p w14:paraId="0D395A4D" w14:textId="77777777" w:rsidR="00134B9E" w:rsidRDefault="00EC6124">
                <w:pPr>
                  <w:widowControl w:val="0"/>
                  <w:pBdr>
                    <w:top w:val="nil"/>
                    <w:left w:val="nil"/>
                    <w:bottom w:val="nil"/>
                    <w:right w:val="nil"/>
                    <w:between w:val="nil"/>
                  </w:pBdr>
                  <w:spacing w:after="0" w:line="240" w:lineRule="auto"/>
                  <w:rPr>
                    <w:rFonts w:ascii="Arial" w:eastAsia="Arial" w:hAnsi="Arial" w:cs="Arial"/>
                    <w:sz w:val="20"/>
                    <w:szCs w:val="20"/>
                  </w:rPr>
                </w:pPr>
                <w:r>
                  <w:rPr>
                    <w:rFonts w:ascii="Arial" w:eastAsia="Arial" w:hAnsi="Arial" w:cs="Arial"/>
                    <w:sz w:val="20"/>
                    <w:szCs w:val="20"/>
                  </w:rPr>
                  <w:lastRenderedPageBreak/>
                  <w:t>Accuracy of numerical simulations: i) L; ii) L</w:t>
                </w:r>
              </w:p>
            </w:tc>
            <w:tc>
              <w:tcPr>
                <w:tcW w:w="1110" w:type="dxa"/>
                <w:shd w:val="clear" w:color="auto" w:fill="EFEFEF"/>
                <w:tcMar>
                  <w:top w:w="100" w:type="dxa"/>
                  <w:left w:w="100" w:type="dxa"/>
                  <w:bottom w:w="100" w:type="dxa"/>
                  <w:right w:w="100" w:type="dxa"/>
                </w:tcMar>
                <w:vAlign w:val="center"/>
              </w:tcPr>
              <w:p w14:paraId="6C4A0639"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 xml:space="preserve">WP1 </w:t>
                </w:r>
              </w:p>
              <w:p w14:paraId="6EDDB922"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and</w:t>
                </w:r>
              </w:p>
              <w:p w14:paraId="4B143414"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WP2</w:t>
                </w:r>
              </w:p>
            </w:tc>
            <w:tc>
              <w:tcPr>
                <w:tcW w:w="4785" w:type="dxa"/>
                <w:shd w:val="clear" w:color="auto" w:fill="EFEFEF"/>
                <w:tcMar>
                  <w:top w:w="100" w:type="dxa"/>
                  <w:left w:w="100" w:type="dxa"/>
                  <w:bottom w:w="100" w:type="dxa"/>
                  <w:right w:w="100" w:type="dxa"/>
                </w:tcMar>
                <w:vAlign w:val="center"/>
              </w:tcPr>
              <w:p w14:paraId="611EBE4D" w14:textId="77777777" w:rsidR="00134B9E" w:rsidRDefault="00EC6124">
                <w:pPr>
                  <w:spacing w:after="100" w:line="240" w:lineRule="auto"/>
                  <w:jc w:val="both"/>
                  <w:rPr>
                    <w:rFonts w:ascii="Arial" w:eastAsia="Arial" w:hAnsi="Arial" w:cs="Arial"/>
                    <w:sz w:val="20"/>
                    <w:szCs w:val="20"/>
                  </w:rPr>
                </w:pPr>
                <w:r>
                  <w:rPr>
                    <w:rFonts w:ascii="Arial" w:eastAsia="Arial" w:hAnsi="Arial" w:cs="Arial"/>
                    <w:sz w:val="20"/>
                    <w:szCs w:val="20"/>
                  </w:rPr>
                  <w:t>Our numerical codes for solving the Boltzmann equation already allowed members of SP2 to reproduce the experiments carried out by the members of SP1 [EST25a]. This time, we reduce the size of the device, which increases the computation time, yet the risks are considered low. Indeed, we hope to improve the reliability of the theoretical predictions further if we obtain the computational resources included in the proposed budget.</w:t>
                </w:r>
              </w:p>
            </w:tc>
          </w:tr>
          <w:tr w:rsidR="00134B9E" w14:paraId="31B57365" w14:textId="77777777">
            <w:tc>
              <w:tcPr>
                <w:tcW w:w="3150" w:type="dxa"/>
                <w:shd w:val="clear" w:color="auto" w:fill="auto"/>
                <w:tcMar>
                  <w:top w:w="100" w:type="dxa"/>
                  <w:left w:w="100" w:type="dxa"/>
                  <w:bottom w:w="100" w:type="dxa"/>
                  <w:right w:w="100" w:type="dxa"/>
                </w:tcMar>
                <w:vAlign w:val="center"/>
              </w:tcPr>
              <w:p w14:paraId="4B1F9453" w14:textId="77777777" w:rsidR="00134B9E" w:rsidRDefault="00EC6124">
                <w:pPr>
                  <w:widowControl w:val="0"/>
                  <w:pBdr>
                    <w:top w:val="nil"/>
                    <w:left w:val="nil"/>
                    <w:bottom w:val="nil"/>
                    <w:right w:val="nil"/>
                    <w:between w:val="nil"/>
                  </w:pBdr>
                  <w:spacing w:after="0" w:line="240" w:lineRule="auto"/>
                  <w:rPr>
                    <w:rFonts w:ascii="Arial" w:eastAsia="Arial" w:hAnsi="Arial" w:cs="Arial"/>
                    <w:sz w:val="20"/>
                    <w:szCs w:val="20"/>
                  </w:rPr>
                </w:pPr>
                <w:r>
                  <w:rPr>
                    <w:rFonts w:ascii="Arial" w:eastAsia="Arial" w:hAnsi="Arial" w:cs="Arial"/>
                    <w:sz w:val="20"/>
                    <w:szCs w:val="20"/>
                  </w:rPr>
                  <w:t>Unsatisfactory crenellated geometry: i) L; ii) M</w:t>
                </w:r>
              </w:p>
            </w:tc>
            <w:tc>
              <w:tcPr>
                <w:tcW w:w="1110" w:type="dxa"/>
                <w:shd w:val="clear" w:color="auto" w:fill="auto"/>
                <w:tcMar>
                  <w:top w:w="100" w:type="dxa"/>
                  <w:left w:w="100" w:type="dxa"/>
                  <w:bottom w:w="100" w:type="dxa"/>
                  <w:right w:w="100" w:type="dxa"/>
                </w:tcMar>
                <w:vAlign w:val="center"/>
              </w:tcPr>
              <w:p w14:paraId="158A0873" w14:textId="77777777" w:rsidR="00134B9E" w:rsidRDefault="00EC6124">
                <w:pPr>
                  <w:widowControl w:val="0"/>
                  <w:spacing w:after="0" w:line="240" w:lineRule="auto"/>
                  <w:jc w:val="center"/>
                  <w:rPr>
                    <w:rFonts w:ascii="Arial" w:eastAsia="Arial" w:hAnsi="Arial" w:cs="Arial"/>
                    <w:sz w:val="20"/>
                    <w:szCs w:val="20"/>
                  </w:rPr>
                </w:pPr>
                <w:r>
                  <w:rPr>
                    <w:rFonts w:ascii="Arial" w:eastAsia="Arial" w:hAnsi="Arial" w:cs="Arial"/>
                    <w:sz w:val="20"/>
                    <w:szCs w:val="20"/>
                  </w:rPr>
                  <w:t>WP2</w:t>
                </w:r>
              </w:p>
            </w:tc>
            <w:tc>
              <w:tcPr>
                <w:tcW w:w="4785" w:type="dxa"/>
                <w:shd w:val="clear" w:color="auto" w:fill="auto"/>
                <w:tcMar>
                  <w:top w:w="100" w:type="dxa"/>
                  <w:left w:w="100" w:type="dxa"/>
                  <w:bottom w:w="100" w:type="dxa"/>
                  <w:right w:w="100" w:type="dxa"/>
                </w:tcMar>
                <w:vAlign w:val="center"/>
              </w:tcPr>
              <w:p w14:paraId="6B72E483" w14:textId="77777777" w:rsidR="00134B9E" w:rsidRDefault="00EC6124">
                <w:pPr>
                  <w:widowControl w:val="0"/>
                  <w:spacing w:after="0" w:line="240" w:lineRule="auto"/>
                  <w:jc w:val="both"/>
                  <w:rPr>
                    <w:rFonts w:ascii="Arial" w:eastAsia="Arial" w:hAnsi="Arial" w:cs="Arial"/>
                    <w:sz w:val="20"/>
                    <w:szCs w:val="20"/>
                  </w:rPr>
                </w:pPr>
                <w:r>
                  <w:rPr>
                    <w:rFonts w:ascii="Arial" w:eastAsia="Arial" w:hAnsi="Arial" w:cs="Arial"/>
                    <w:sz w:val="20"/>
                    <w:szCs w:val="20"/>
                  </w:rPr>
                  <w:t xml:space="preserve">In the event that the quality of the crenellated samples is inadequate, our previous simulations allow us to state that the </w:t>
                </w:r>
                <w:r>
                  <w:rPr>
                    <w:rFonts w:ascii="Arial" w:eastAsia="Arial" w:hAnsi="Arial" w:cs="Arial"/>
                    <w:b/>
                    <w:sz w:val="20"/>
                    <w:szCs w:val="20"/>
                  </w:rPr>
                  <w:t>voltage rectification regime could be achieved with small-diameter antidot superlattices</w:t>
                </w:r>
                <w:r>
                  <w:rPr>
                    <w:rFonts w:ascii="Arial" w:eastAsia="Arial" w:hAnsi="Arial" w:cs="Arial"/>
                    <w:sz w:val="20"/>
                    <w:szCs w:val="20"/>
                  </w:rPr>
                  <w:t>. This provides a reasonable alternative, although the expected current density would be higher, which could have some impact on performance.</w:t>
                </w:r>
              </w:p>
            </w:tc>
          </w:tr>
          <w:tr w:rsidR="00134B9E" w:rsidRPr="00037AD5" w14:paraId="0DEF8AD4" w14:textId="77777777">
            <w:tc>
              <w:tcPr>
                <w:tcW w:w="3150" w:type="dxa"/>
                <w:shd w:val="clear" w:color="auto" w:fill="EFEFEF"/>
                <w:tcMar>
                  <w:top w:w="100" w:type="dxa"/>
                  <w:left w:w="100" w:type="dxa"/>
                  <w:bottom w:w="100" w:type="dxa"/>
                  <w:right w:w="100" w:type="dxa"/>
                </w:tcMar>
                <w:vAlign w:val="center"/>
              </w:tcPr>
              <w:p w14:paraId="1918C2A2" w14:textId="77777777" w:rsidR="00134B9E" w:rsidRDefault="00EC6124">
                <w:pPr>
                  <w:widowControl w:val="0"/>
                  <w:spacing w:after="0" w:line="240" w:lineRule="auto"/>
                  <w:jc w:val="both"/>
                  <w:rPr>
                    <w:rFonts w:ascii="Arial" w:eastAsia="Arial" w:hAnsi="Arial" w:cs="Arial"/>
                    <w:sz w:val="20"/>
                    <w:szCs w:val="20"/>
                  </w:rPr>
                </w:pPr>
                <w:r>
                  <w:rPr>
                    <w:rFonts w:ascii="Arial" w:eastAsia="Arial" w:hAnsi="Arial" w:cs="Arial"/>
                    <w:sz w:val="20"/>
                    <w:szCs w:val="20"/>
                  </w:rPr>
                  <w:t>Unreachable regulation regime: i) L; II) M</w:t>
                </w:r>
              </w:p>
            </w:tc>
            <w:tc>
              <w:tcPr>
                <w:tcW w:w="1110" w:type="dxa"/>
                <w:shd w:val="clear" w:color="auto" w:fill="EFEFEF"/>
                <w:tcMar>
                  <w:top w:w="100" w:type="dxa"/>
                  <w:left w:w="100" w:type="dxa"/>
                  <w:bottom w:w="100" w:type="dxa"/>
                  <w:right w:w="100" w:type="dxa"/>
                </w:tcMar>
                <w:vAlign w:val="center"/>
              </w:tcPr>
              <w:p w14:paraId="65EF8BA1" w14:textId="77777777" w:rsidR="00134B9E" w:rsidRDefault="00EC6124">
                <w:pPr>
                  <w:widowControl w:val="0"/>
                  <w:pBdr>
                    <w:top w:val="nil"/>
                    <w:left w:val="nil"/>
                    <w:bottom w:val="nil"/>
                    <w:right w:val="nil"/>
                    <w:between w:val="nil"/>
                  </w:pBdr>
                  <w:spacing w:after="0" w:line="240" w:lineRule="auto"/>
                  <w:jc w:val="center"/>
                  <w:rPr>
                    <w:rFonts w:ascii="Arial" w:eastAsia="Arial" w:hAnsi="Arial" w:cs="Arial"/>
                    <w:sz w:val="20"/>
                    <w:szCs w:val="20"/>
                  </w:rPr>
                </w:pPr>
                <w:r>
                  <w:rPr>
                    <w:rFonts w:ascii="Arial" w:eastAsia="Arial" w:hAnsi="Arial" w:cs="Arial"/>
                    <w:sz w:val="20"/>
                    <w:szCs w:val="20"/>
                  </w:rPr>
                  <w:t>WP2</w:t>
                </w:r>
              </w:p>
            </w:tc>
            <w:tc>
              <w:tcPr>
                <w:tcW w:w="4785" w:type="dxa"/>
                <w:shd w:val="clear" w:color="auto" w:fill="EFEFEF"/>
                <w:tcMar>
                  <w:top w:w="100" w:type="dxa"/>
                  <w:left w:w="100" w:type="dxa"/>
                  <w:bottom w:w="100" w:type="dxa"/>
                  <w:right w:w="100" w:type="dxa"/>
                </w:tcMar>
                <w:vAlign w:val="center"/>
              </w:tcPr>
              <w:p w14:paraId="31CC83F8" w14:textId="77777777" w:rsidR="00134B9E" w:rsidRPr="00037AD5" w:rsidRDefault="00EC6124">
                <w:pPr>
                  <w:widowControl w:val="0"/>
                  <w:spacing w:after="0" w:line="240" w:lineRule="auto"/>
                  <w:jc w:val="both"/>
                  <w:rPr>
                    <w:rFonts w:ascii="Arial" w:eastAsia="Arial" w:hAnsi="Arial" w:cs="Arial"/>
                    <w:sz w:val="20"/>
                    <w:szCs w:val="20"/>
                    <w:lang w:val="en-US"/>
                  </w:rPr>
                </w:pPr>
                <w:r>
                  <w:rPr>
                    <w:rFonts w:ascii="Arial" w:eastAsia="Arial" w:hAnsi="Arial" w:cs="Arial"/>
                    <w:sz w:val="20"/>
                    <w:szCs w:val="20"/>
                  </w:rPr>
                  <w:t>Although previous simulations give us confidence that we will reach the voltage regulation regime, it is still more straightforward to achieve a differential resistance that depends on the current, sufficient to distinguish between states in the switch. In the event that this is not observed, we propose using electron hydrodynamics to design a voltage amplifier. The device would consist of a QPC with source and drain contacts. A slight increase in voltage is expected between the QPC and the drain. Although this device is not as relevant to industry as our initial proposal, it would be a simpler and more feasible alternative in the unlikely event that the proposed device does not operate as expected</w:t>
                </w:r>
              </w:p>
            </w:tc>
          </w:tr>
        </w:tbl>
      </w:sdtContent>
    </w:sdt>
    <w:p w14:paraId="5285B708" w14:textId="77777777" w:rsidR="00134B9E" w:rsidRPr="00037AD5" w:rsidRDefault="00134B9E">
      <w:pPr>
        <w:spacing w:after="100" w:line="240" w:lineRule="auto"/>
        <w:jc w:val="both"/>
        <w:rPr>
          <w:rFonts w:ascii="Arial" w:eastAsia="Arial" w:hAnsi="Arial" w:cs="Arial"/>
          <w:u w:val="single"/>
          <w:lang w:val="en-US"/>
        </w:rPr>
      </w:pPr>
    </w:p>
    <w:p w14:paraId="6ECB9EAC" w14:textId="77777777" w:rsidR="00134B9E" w:rsidRPr="00037AD5" w:rsidRDefault="00EC6124">
      <w:pPr>
        <w:spacing w:after="100" w:line="240" w:lineRule="auto"/>
        <w:jc w:val="both"/>
        <w:rPr>
          <w:rFonts w:ascii="Arial" w:eastAsia="Arial" w:hAnsi="Arial" w:cs="Arial"/>
          <w:u w:val="single"/>
          <w:lang w:val="en-US"/>
        </w:rPr>
      </w:pPr>
      <w:r w:rsidRPr="00037AD5">
        <w:rPr>
          <w:rFonts w:ascii="Arial" w:eastAsia="Arial" w:hAnsi="Arial" w:cs="Arial"/>
          <w:u w:val="single"/>
          <w:lang w:val="en-US"/>
        </w:rPr>
        <w:lastRenderedPageBreak/>
        <w:t>Chronogram of activities and milestones, and role of research team members in the project</w:t>
      </w:r>
    </w:p>
    <w:p w14:paraId="1493147D"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 </w:t>
      </w:r>
      <w:r w:rsidRPr="00037AD5">
        <w:rPr>
          <w:rFonts w:ascii="Arial" w:eastAsia="Arial" w:hAnsi="Arial" w:cs="Arial"/>
          <w:lang w:val="en-US"/>
        </w:rPr>
        <w:tab/>
      </w:r>
    </w:p>
    <w:p w14:paraId="6985B761"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The activities of the three WPs will span the two-year duration of the project according to the Gantt chart shown below. </w:t>
      </w:r>
    </w:p>
    <w:p w14:paraId="49D8F860" w14:textId="77777777" w:rsidR="00134B9E" w:rsidRPr="00037AD5" w:rsidRDefault="00EC6124">
      <w:pPr>
        <w:spacing w:after="100" w:line="240" w:lineRule="auto"/>
        <w:jc w:val="both"/>
        <w:rPr>
          <w:lang w:val="en-US"/>
        </w:rPr>
      </w:pPr>
      <w:r>
        <w:rPr>
          <w:rFonts w:ascii="Arial" w:eastAsia="Arial" w:hAnsi="Arial" w:cs="Arial"/>
          <w:noProof/>
          <w:lang w:val="en-US"/>
        </w:rPr>
        <w:drawing>
          <wp:inline distT="114300" distB="114300" distL="114300" distR="114300" wp14:anchorId="7BF54E5A" wp14:editId="0CCBC99C">
            <wp:extent cx="5759140" cy="4076700"/>
            <wp:effectExtent l="0" t="0" r="0" b="0"/>
            <wp:docPr id="179467208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2"/>
                    <a:srcRect/>
                    <a:stretch>
                      <a:fillRect/>
                    </a:stretch>
                  </pic:blipFill>
                  <pic:spPr>
                    <a:xfrm>
                      <a:off x="0" y="0"/>
                      <a:ext cx="5759140" cy="4076700"/>
                    </a:xfrm>
                    <a:prstGeom prst="rect">
                      <a:avLst/>
                    </a:prstGeom>
                    <a:ln/>
                  </pic:spPr>
                </pic:pic>
              </a:graphicData>
            </a:graphic>
          </wp:inline>
        </w:drawing>
      </w:r>
      <w:r w:rsidRPr="00037AD5">
        <w:rPr>
          <w:lang w:val="en-US"/>
        </w:rPr>
        <w:t>The following table presents the milestones and deliverables within each WP</w:t>
      </w:r>
    </w:p>
    <w:p w14:paraId="23BD698C" w14:textId="77777777" w:rsidR="00134B9E" w:rsidRPr="00037AD5" w:rsidRDefault="00134B9E">
      <w:pPr>
        <w:rPr>
          <w:lang w:val="en-US"/>
        </w:rPr>
      </w:pPr>
    </w:p>
    <w:sdt>
      <w:sdtPr>
        <w:tag w:val="goog_rdk_1"/>
        <w:id w:val="2056215788"/>
        <w:lock w:val="contentLocked"/>
      </w:sdtPr>
      <w:sdtEndPr/>
      <w:sdtContent>
        <w:tbl>
          <w:tblPr>
            <w:tblStyle w:val="a0"/>
            <w:tblW w:w="90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4275"/>
            <w:gridCol w:w="3210"/>
          </w:tblGrid>
          <w:tr w:rsidR="00134B9E" w14:paraId="4805F9AE" w14:textId="77777777">
            <w:tc>
              <w:tcPr>
                <w:tcW w:w="1560" w:type="dxa"/>
                <w:shd w:val="clear" w:color="auto" w:fill="FFD966"/>
                <w:tcMar>
                  <w:top w:w="100" w:type="dxa"/>
                  <w:left w:w="100" w:type="dxa"/>
                  <w:bottom w:w="100" w:type="dxa"/>
                  <w:right w:w="100" w:type="dxa"/>
                </w:tcMar>
              </w:tcPr>
              <w:p w14:paraId="3486DE33" w14:textId="77777777" w:rsidR="00134B9E" w:rsidRDefault="00EC6124">
                <w:pPr>
                  <w:widowControl w:val="0"/>
                  <w:pBdr>
                    <w:top w:val="nil"/>
                    <w:left w:val="nil"/>
                    <w:bottom w:val="nil"/>
                    <w:right w:val="nil"/>
                    <w:between w:val="nil"/>
                  </w:pBdr>
                  <w:spacing w:after="0" w:line="240" w:lineRule="auto"/>
                  <w:jc w:val="center"/>
                  <w:rPr>
                    <w:b/>
                  </w:rPr>
                </w:pPr>
                <w:r>
                  <w:rPr>
                    <w:b/>
                  </w:rPr>
                  <w:t>Work package</w:t>
                </w:r>
              </w:p>
            </w:tc>
            <w:tc>
              <w:tcPr>
                <w:tcW w:w="4275" w:type="dxa"/>
                <w:shd w:val="clear" w:color="auto" w:fill="FFD966"/>
                <w:tcMar>
                  <w:top w:w="100" w:type="dxa"/>
                  <w:left w:w="100" w:type="dxa"/>
                  <w:bottom w:w="100" w:type="dxa"/>
                  <w:right w:w="100" w:type="dxa"/>
                </w:tcMar>
              </w:tcPr>
              <w:p w14:paraId="3507292A" w14:textId="77777777" w:rsidR="00134B9E" w:rsidRDefault="00EC6124">
                <w:pPr>
                  <w:widowControl w:val="0"/>
                  <w:pBdr>
                    <w:top w:val="nil"/>
                    <w:left w:val="nil"/>
                    <w:bottom w:val="nil"/>
                    <w:right w:val="nil"/>
                    <w:between w:val="nil"/>
                  </w:pBdr>
                  <w:spacing w:after="0" w:line="240" w:lineRule="auto"/>
                  <w:jc w:val="center"/>
                  <w:rPr>
                    <w:b/>
                  </w:rPr>
                </w:pPr>
                <w:r>
                  <w:rPr>
                    <w:b/>
                  </w:rPr>
                  <w:t>Milestone / Month</w:t>
                </w:r>
              </w:p>
            </w:tc>
            <w:tc>
              <w:tcPr>
                <w:tcW w:w="3210" w:type="dxa"/>
                <w:shd w:val="clear" w:color="auto" w:fill="FFD966"/>
                <w:tcMar>
                  <w:top w:w="100" w:type="dxa"/>
                  <w:left w:w="100" w:type="dxa"/>
                  <w:bottom w:w="100" w:type="dxa"/>
                  <w:right w:w="100" w:type="dxa"/>
                </w:tcMar>
              </w:tcPr>
              <w:p w14:paraId="6EC2F38A" w14:textId="77777777" w:rsidR="00134B9E" w:rsidRDefault="00EC6124">
                <w:pPr>
                  <w:widowControl w:val="0"/>
                  <w:pBdr>
                    <w:top w:val="nil"/>
                    <w:left w:val="nil"/>
                    <w:bottom w:val="nil"/>
                    <w:right w:val="nil"/>
                    <w:between w:val="nil"/>
                  </w:pBdr>
                  <w:spacing w:after="0" w:line="240" w:lineRule="auto"/>
                  <w:jc w:val="center"/>
                  <w:rPr>
                    <w:b/>
                  </w:rPr>
                </w:pPr>
                <w:r>
                  <w:rPr>
                    <w:b/>
                  </w:rPr>
                  <w:t>Deliverable / Month</w:t>
                </w:r>
              </w:p>
            </w:tc>
          </w:tr>
          <w:tr w:rsidR="00134B9E" w14:paraId="3C644F97" w14:textId="77777777">
            <w:tc>
              <w:tcPr>
                <w:tcW w:w="1560" w:type="dxa"/>
                <w:shd w:val="clear" w:color="auto" w:fill="auto"/>
                <w:tcMar>
                  <w:top w:w="100" w:type="dxa"/>
                  <w:left w:w="100" w:type="dxa"/>
                  <w:bottom w:w="100" w:type="dxa"/>
                  <w:right w:w="100" w:type="dxa"/>
                </w:tcMar>
                <w:vAlign w:val="center"/>
              </w:tcPr>
              <w:p w14:paraId="28486E7D" w14:textId="77777777" w:rsidR="00134B9E" w:rsidRDefault="00EC6124">
                <w:pPr>
                  <w:widowControl w:val="0"/>
                  <w:pBdr>
                    <w:top w:val="nil"/>
                    <w:left w:val="nil"/>
                    <w:bottom w:val="nil"/>
                    <w:right w:val="nil"/>
                    <w:between w:val="nil"/>
                  </w:pBdr>
                  <w:spacing w:after="0" w:line="240" w:lineRule="auto"/>
                  <w:jc w:val="center"/>
                </w:pPr>
                <w:r>
                  <w:t>WP1</w:t>
                </w:r>
              </w:p>
            </w:tc>
            <w:tc>
              <w:tcPr>
                <w:tcW w:w="4275" w:type="dxa"/>
                <w:shd w:val="clear" w:color="auto" w:fill="auto"/>
                <w:tcMar>
                  <w:top w:w="100" w:type="dxa"/>
                  <w:left w:w="100" w:type="dxa"/>
                  <w:bottom w:w="100" w:type="dxa"/>
                  <w:right w:w="100" w:type="dxa"/>
                </w:tcMar>
                <w:vAlign w:val="center"/>
              </w:tcPr>
              <w:p w14:paraId="7DC388EC" w14:textId="77777777" w:rsidR="00134B9E" w:rsidRDefault="00EC6124">
                <w:pPr>
                  <w:widowControl w:val="0"/>
                  <w:pBdr>
                    <w:top w:val="nil"/>
                    <w:left w:val="nil"/>
                    <w:bottom w:val="nil"/>
                    <w:right w:val="nil"/>
                    <w:between w:val="nil"/>
                  </w:pBdr>
                  <w:spacing w:after="0" w:line="240" w:lineRule="auto"/>
                </w:pPr>
                <w:r>
                  <w:rPr>
                    <w:b/>
                  </w:rPr>
                  <w:t>M1.1</w:t>
                </w:r>
                <w:r>
                  <w:t xml:space="preserve"> Fabrication of the ASL-GTeraFET (M6)</w:t>
                </w:r>
              </w:p>
            </w:tc>
            <w:tc>
              <w:tcPr>
                <w:tcW w:w="3210" w:type="dxa"/>
                <w:shd w:val="clear" w:color="auto" w:fill="auto"/>
                <w:tcMar>
                  <w:top w:w="100" w:type="dxa"/>
                  <w:left w:w="100" w:type="dxa"/>
                  <w:bottom w:w="100" w:type="dxa"/>
                  <w:right w:w="100" w:type="dxa"/>
                </w:tcMar>
                <w:vAlign w:val="center"/>
              </w:tcPr>
              <w:p w14:paraId="5168CBEE" w14:textId="77777777" w:rsidR="00134B9E" w:rsidRDefault="00EC6124">
                <w:pPr>
                  <w:widowControl w:val="0"/>
                  <w:pBdr>
                    <w:top w:val="nil"/>
                    <w:left w:val="nil"/>
                    <w:bottom w:val="nil"/>
                    <w:right w:val="nil"/>
                    <w:between w:val="nil"/>
                  </w:pBdr>
                  <w:spacing w:after="0" w:line="240" w:lineRule="auto"/>
                </w:pPr>
                <w:r>
                  <w:rPr>
                    <w:b/>
                  </w:rPr>
                  <w:t>D1.1</w:t>
                </w:r>
                <w:r>
                  <w:t xml:space="preserve"> Report on the protocols to fabricate the ASL-GTeraFET (M6)</w:t>
                </w:r>
              </w:p>
            </w:tc>
          </w:tr>
          <w:tr w:rsidR="00134B9E" w14:paraId="4C7013F2" w14:textId="77777777">
            <w:tc>
              <w:tcPr>
                <w:tcW w:w="1560" w:type="dxa"/>
                <w:shd w:val="clear" w:color="auto" w:fill="auto"/>
                <w:tcMar>
                  <w:top w:w="100" w:type="dxa"/>
                  <w:left w:w="100" w:type="dxa"/>
                  <w:bottom w:w="100" w:type="dxa"/>
                  <w:right w:w="100" w:type="dxa"/>
                </w:tcMar>
                <w:vAlign w:val="center"/>
              </w:tcPr>
              <w:p w14:paraId="6F4E1D6F" w14:textId="77777777" w:rsidR="00134B9E" w:rsidRDefault="00EC6124">
                <w:pPr>
                  <w:widowControl w:val="0"/>
                  <w:pBdr>
                    <w:top w:val="nil"/>
                    <w:left w:val="nil"/>
                    <w:bottom w:val="nil"/>
                    <w:right w:val="nil"/>
                    <w:between w:val="nil"/>
                  </w:pBdr>
                  <w:spacing w:after="0" w:line="240" w:lineRule="auto"/>
                  <w:jc w:val="center"/>
                </w:pPr>
                <w:r>
                  <w:t>WP1</w:t>
                </w:r>
              </w:p>
            </w:tc>
            <w:tc>
              <w:tcPr>
                <w:tcW w:w="4275" w:type="dxa"/>
                <w:shd w:val="clear" w:color="auto" w:fill="auto"/>
                <w:tcMar>
                  <w:top w:w="100" w:type="dxa"/>
                  <w:left w:w="100" w:type="dxa"/>
                  <w:bottom w:w="100" w:type="dxa"/>
                  <w:right w:w="100" w:type="dxa"/>
                </w:tcMar>
                <w:vAlign w:val="center"/>
              </w:tcPr>
              <w:p w14:paraId="22CC1367" w14:textId="77777777" w:rsidR="00134B9E" w:rsidRDefault="00EC6124">
                <w:pPr>
                  <w:widowControl w:val="0"/>
                  <w:pBdr>
                    <w:top w:val="nil"/>
                    <w:left w:val="nil"/>
                    <w:bottom w:val="nil"/>
                    <w:right w:val="nil"/>
                    <w:between w:val="nil"/>
                  </w:pBdr>
                  <w:spacing w:after="0" w:line="240" w:lineRule="auto"/>
                </w:pPr>
                <w:r>
                  <w:rPr>
                    <w:b/>
                  </w:rPr>
                  <w:t xml:space="preserve">M1.2 </w:t>
                </w:r>
                <w:r>
                  <w:t>Modeling of the ASL-GTeraFET (M6)</w:t>
                </w:r>
              </w:p>
            </w:tc>
            <w:tc>
              <w:tcPr>
                <w:tcW w:w="3210" w:type="dxa"/>
                <w:shd w:val="clear" w:color="auto" w:fill="auto"/>
                <w:tcMar>
                  <w:top w:w="100" w:type="dxa"/>
                  <w:left w:w="100" w:type="dxa"/>
                  <w:bottom w:w="100" w:type="dxa"/>
                  <w:right w:w="100" w:type="dxa"/>
                </w:tcMar>
                <w:vAlign w:val="center"/>
              </w:tcPr>
              <w:p w14:paraId="0A111570" w14:textId="77777777" w:rsidR="00134B9E" w:rsidRDefault="00EC6124">
                <w:pPr>
                  <w:widowControl w:val="0"/>
                  <w:pBdr>
                    <w:top w:val="nil"/>
                    <w:left w:val="nil"/>
                    <w:bottom w:val="nil"/>
                    <w:right w:val="nil"/>
                    <w:between w:val="nil"/>
                  </w:pBdr>
                  <w:spacing w:after="0" w:line="240" w:lineRule="auto"/>
                  <w:rPr>
                    <w:b/>
                  </w:rPr>
                </w:pPr>
                <w:r>
                  <w:rPr>
                    <w:b/>
                  </w:rPr>
                  <w:t>D1.2</w:t>
                </w:r>
                <w:r>
                  <w:t xml:space="preserve"> Report on the numerically simulated performance of the ASL-GTeraFET (M6)</w:t>
                </w:r>
              </w:p>
            </w:tc>
          </w:tr>
          <w:tr w:rsidR="00134B9E" w14:paraId="1E90A09B" w14:textId="77777777">
            <w:tc>
              <w:tcPr>
                <w:tcW w:w="1560" w:type="dxa"/>
                <w:shd w:val="clear" w:color="auto" w:fill="auto"/>
                <w:tcMar>
                  <w:top w:w="100" w:type="dxa"/>
                  <w:left w:w="100" w:type="dxa"/>
                  <w:bottom w:w="100" w:type="dxa"/>
                  <w:right w:w="100" w:type="dxa"/>
                </w:tcMar>
                <w:vAlign w:val="center"/>
              </w:tcPr>
              <w:p w14:paraId="02BA15D7" w14:textId="77777777" w:rsidR="00134B9E" w:rsidRDefault="00EC6124">
                <w:pPr>
                  <w:widowControl w:val="0"/>
                  <w:pBdr>
                    <w:top w:val="nil"/>
                    <w:left w:val="nil"/>
                    <w:bottom w:val="nil"/>
                    <w:right w:val="nil"/>
                    <w:between w:val="nil"/>
                  </w:pBdr>
                  <w:spacing w:after="0" w:line="240" w:lineRule="auto"/>
                  <w:jc w:val="center"/>
                </w:pPr>
                <w:r>
                  <w:t>WP1</w:t>
                </w:r>
              </w:p>
            </w:tc>
            <w:tc>
              <w:tcPr>
                <w:tcW w:w="4275" w:type="dxa"/>
                <w:shd w:val="clear" w:color="auto" w:fill="auto"/>
                <w:tcMar>
                  <w:top w:w="100" w:type="dxa"/>
                  <w:left w:w="100" w:type="dxa"/>
                  <w:bottom w:w="100" w:type="dxa"/>
                  <w:right w:w="100" w:type="dxa"/>
                </w:tcMar>
                <w:vAlign w:val="center"/>
              </w:tcPr>
              <w:p w14:paraId="37E4944D" w14:textId="77777777" w:rsidR="00134B9E" w:rsidRDefault="00EC6124">
                <w:pPr>
                  <w:widowControl w:val="0"/>
                  <w:pBdr>
                    <w:top w:val="nil"/>
                    <w:left w:val="nil"/>
                    <w:bottom w:val="nil"/>
                    <w:right w:val="nil"/>
                    <w:between w:val="nil"/>
                  </w:pBdr>
                  <w:spacing w:after="0" w:line="240" w:lineRule="auto"/>
                </w:pPr>
                <w:r>
                  <w:rPr>
                    <w:b/>
                  </w:rPr>
                  <w:t>M1.3</w:t>
                </w:r>
                <w:r>
                  <w:t xml:space="preserve"> Detection of THz radiation from ASL-GTeraFET</w:t>
                </w:r>
              </w:p>
            </w:tc>
            <w:tc>
              <w:tcPr>
                <w:tcW w:w="3210" w:type="dxa"/>
                <w:shd w:val="clear" w:color="auto" w:fill="auto"/>
                <w:tcMar>
                  <w:top w:w="100" w:type="dxa"/>
                  <w:left w:w="100" w:type="dxa"/>
                  <w:bottom w:w="100" w:type="dxa"/>
                  <w:right w:w="100" w:type="dxa"/>
                </w:tcMar>
                <w:vAlign w:val="center"/>
              </w:tcPr>
              <w:p w14:paraId="571A147B" w14:textId="77777777" w:rsidR="00134B9E" w:rsidRDefault="00EC6124">
                <w:pPr>
                  <w:widowControl w:val="0"/>
                  <w:pBdr>
                    <w:top w:val="nil"/>
                    <w:left w:val="nil"/>
                    <w:bottom w:val="nil"/>
                    <w:right w:val="nil"/>
                    <w:between w:val="nil"/>
                  </w:pBdr>
                  <w:spacing w:after="0" w:line="240" w:lineRule="auto"/>
                </w:pPr>
                <w:r>
                  <w:rPr>
                    <w:b/>
                  </w:rPr>
                  <w:t>D1.3</w:t>
                </w:r>
                <w:r>
                  <w:t xml:space="preserve"> Report of the ASL-GTeraFET response at various temperatures (M12)</w:t>
                </w:r>
              </w:p>
            </w:tc>
          </w:tr>
          <w:tr w:rsidR="00134B9E" w14:paraId="110268FE" w14:textId="77777777">
            <w:tc>
              <w:tcPr>
                <w:tcW w:w="1560" w:type="dxa"/>
                <w:shd w:val="clear" w:color="auto" w:fill="auto"/>
                <w:tcMar>
                  <w:top w:w="100" w:type="dxa"/>
                  <w:left w:w="100" w:type="dxa"/>
                  <w:bottom w:w="100" w:type="dxa"/>
                  <w:right w:w="100" w:type="dxa"/>
                </w:tcMar>
                <w:vAlign w:val="center"/>
              </w:tcPr>
              <w:p w14:paraId="2D6E1FB2" w14:textId="77777777" w:rsidR="00134B9E" w:rsidRDefault="00EC6124">
                <w:pPr>
                  <w:widowControl w:val="0"/>
                  <w:pBdr>
                    <w:top w:val="nil"/>
                    <w:left w:val="nil"/>
                    <w:bottom w:val="nil"/>
                    <w:right w:val="nil"/>
                    <w:between w:val="nil"/>
                  </w:pBdr>
                  <w:spacing w:after="0" w:line="240" w:lineRule="auto"/>
                  <w:jc w:val="center"/>
                </w:pPr>
                <w:r>
                  <w:t>WP1</w:t>
                </w:r>
              </w:p>
            </w:tc>
            <w:tc>
              <w:tcPr>
                <w:tcW w:w="4275" w:type="dxa"/>
                <w:shd w:val="clear" w:color="auto" w:fill="auto"/>
                <w:tcMar>
                  <w:top w:w="100" w:type="dxa"/>
                  <w:left w:w="100" w:type="dxa"/>
                  <w:bottom w:w="100" w:type="dxa"/>
                  <w:right w:w="100" w:type="dxa"/>
                </w:tcMar>
                <w:vAlign w:val="center"/>
              </w:tcPr>
              <w:p w14:paraId="74C2AAC8" w14:textId="77777777" w:rsidR="00134B9E" w:rsidRDefault="00134B9E">
                <w:pPr>
                  <w:widowControl w:val="0"/>
                  <w:pBdr>
                    <w:top w:val="nil"/>
                    <w:left w:val="nil"/>
                    <w:bottom w:val="nil"/>
                    <w:right w:val="nil"/>
                    <w:between w:val="nil"/>
                  </w:pBdr>
                  <w:spacing w:after="0" w:line="240" w:lineRule="auto"/>
                </w:pPr>
              </w:p>
            </w:tc>
            <w:tc>
              <w:tcPr>
                <w:tcW w:w="3210" w:type="dxa"/>
                <w:shd w:val="clear" w:color="auto" w:fill="auto"/>
                <w:tcMar>
                  <w:top w:w="100" w:type="dxa"/>
                  <w:left w:w="100" w:type="dxa"/>
                  <w:bottom w:w="100" w:type="dxa"/>
                  <w:right w:w="100" w:type="dxa"/>
                </w:tcMar>
                <w:vAlign w:val="center"/>
              </w:tcPr>
              <w:p w14:paraId="6B1EA08E" w14:textId="77777777" w:rsidR="00134B9E" w:rsidRDefault="00EC6124">
                <w:pPr>
                  <w:widowControl w:val="0"/>
                  <w:pBdr>
                    <w:top w:val="nil"/>
                    <w:left w:val="nil"/>
                    <w:bottom w:val="nil"/>
                    <w:right w:val="nil"/>
                    <w:between w:val="nil"/>
                  </w:pBdr>
                  <w:spacing w:after="0" w:line="240" w:lineRule="auto"/>
                </w:pPr>
                <w:r>
                  <w:rPr>
                    <w:b/>
                  </w:rPr>
                  <w:t>D1.4</w:t>
                </w:r>
                <w:r>
                  <w:t xml:space="preserve"> Scientific paper after reports D1.1, D1.2 and D1.3 (M14)</w:t>
                </w:r>
              </w:p>
            </w:tc>
          </w:tr>
          <w:tr w:rsidR="00134B9E" w14:paraId="36A716B8" w14:textId="77777777">
            <w:tc>
              <w:tcPr>
                <w:tcW w:w="1560" w:type="dxa"/>
                <w:shd w:val="clear" w:color="auto" w:fill="auto"/>
                <w:tcMar>
                  <w:top w:w="100" w:type="dxa"/>
                  <w:left w:w="100" w:type="dxa"/>
                  <w:bottom w:w="100" w:type="dxa"/>
                  <w:right w:w="100" w:type="dxa"/>
                </w:tcMar>
                <w:vAlign w:val="center"/>
              </w:tcPr>
              <w:p w14:paraId="24828010" w14:textId="77777777" w:rsidR="00134B9E" w:rsidRDefault="00EC6124">
                <w:pPr>
                  <w:widowControl w:val="0"/>
                  <w:spacing w:after="0" w:line="240" w:lineRule="auto"/>
                  <w:jc w:val="center"/>
                </w:pPr>
                <w:r>
                  <w:t>WP1</w:t>
                </w:r>
              </w:p>
            </w:tc>
            <w:tc>
              <w:tcPr>
                <w:tcW w:w="4275" w:type="dxa"/>
                <w:shd w:val="clear" w:color="auto" w:fill="auto"/>
                <w:tcMar>
                  <w:top w:w="100" w:type="dxa"/>
                  <w:left w:w="100" w:type="dxa"/>
                  <w:bottom w:w="100" w:type="dxa"/>
                  <w:right w:w="100" w:type="dxa"/>
                </w:tcMar>
                <w:vAlign w:val="center"/>
              </w:tcPr>
              <w:p w14:paraId="3D77AA99" w14:textId="77777777" w:rsidR="00134B9E" w:rsidRDefault="00EC6124">
                <w:pPr>
                  <w:widowControl w:val="0"/>
                  <w:spacing w:after="0" w:line="240" w:lineRule="auto"/>
                </w:pPr>
                <w:r>
                  <w:rPr>
                    <w:b/>
                  </w:rPr>
                  <w:t>M1.4</w:t>
                </w:r>
                <w:r>
                  <w:t xml:space="preserve"> Optimization and comparison of the different designs</w:t>
                </w:r>
              </w:p>
            </w:tc>
            <w:tc>
              <w:tcPr>
                <w:tcW w:w="3210" w:type="dxa"/>
                <w:shd w:val="clear" w:color="auto" w:fill="auto"/>
                <w:tcMar>
                  <w:top w:w="100" w:type="dxa"/>
                  <w:left w:w="100" w:type="dxa"/>
                  <w:bottom w:w="100" w:type="dxa"/>
                  <w:right w:w="100" w:type="dxa"/>
                </w:tcMar>
                <w:vAlign w:val="center"/>
              </w:tcPr>
              <w:p w14:paraId="32D87FAE" w14:textId="77777777" w:rsidR="00134B9E" w:rsidRDefault="00EC6124">
                <w:pPr>
                  <w:widowControl w:val="0"/>
                  <w:spacing w:after="0" w:line="240" w:lineRule="auto"/>
                  <w:rPr>
                    <w:b/>
                  </w:rPr>
                </w:pPr>
                <w:r>
                  <w:rPr>
                    <w:b/>
                  </w:rPr>
                  <w:t>D1.5</w:t>
                </w:r>
                <w:r>
                  <w:t xml:space="preserve"> Report of the figures of merit and performances of the different ASL-GTeraFET devices (M22)</w:t>
                </w:r>
              </w:p>
            </w:tc>
          </w:tr>
          <w:tr w:rsidR="00134B9E" w14:paraId="04388428" w14:textId="77777777">
            <w:tc>
              <w:tcPr>
                <w:tcW w:w="1560" w:type="dxa"/>
                <w:shd w:val="clear" w:color="auto" w:fill="auto"/>
                <w:tcMar>
                  <w:top w:w="100" w:type="dxa"/>
                  <w:left w:w="100" w:type="dxa"/>
                  <w:bottom w:w="100" w:type="dxa"/>
                  <w:right w:w="100" w:type="dxa"/>
                </w:tcMar>
                <w:vAlign w:val="center"/>
              </w:tcPr>
              <w:p w14:paraId="431F68E2" w14:textId="77777777" w:rsidR="00134B9E" w:rsidRDefault="00EC6124">
                <w:pPr>
                  <w:widowControl w:val="0"/>
                  <w:pBdr>
                    <w:top w:val="nil"/>
                    <w:left w:val="nil"/>
                    <w:bottom w:val="nil"/>
                    <w:right w:val="nil"/>
                    <w:between w:val="nil"/>
                  </w:pBdr>
                  <w:spacing w:after="0" w:line="240" w:lineRule="auto"/>
                  <w:jc w:val="center"/>
                </w:pPr>
                <w:r>
                  <w:lastRenderedPageBreak/>
                  <w:t>WP1</w:t>
                </w:r>
              </w:p>
            </w:tc>
            <w:tc>
              <w:tcPr>
                <w:tcW w:w="4275" w:type="dxa"/>
                <w:shd w:val="clear" w:color="auto" w:fill="auto"/>
                <w:tcMar>
                  <w:top w:w="100" w:type="dxa"/>
                  <w:left w:w="100" w:type="dxa"/>
                  <w:bottom w:w="100" w:type="dxa"/>
                  <w:right w:w="100" w:type="dxa"/>
                </w:tcMar>
                <w:vAlign w:val="center"/>
              </w:tcPr>
              <w:p w14:paraId="2707905A" w14:textId="77777777" w:rsidR="00134B9E" w:rsidRDefault="00EC6124">
                <w:pPr>
                  <w:widowControl w:val="0"/>
                  <w:pBdr>
                    <w:top w:val="nil"/>
                    <w:left w:val="nil"/>
                    <w:bottom w:val="nil"/>
                    <w:right w:val="nil"/>
                    <w:between w:val="nil"/>
                  </w:pBdr>
                  <w:spacing w:after="0" w:line="240" w:lineRule="auto"/>
                </w:pPr>
                <w:r>
                  <w:rPr>
                    <w:b/>
                  </w:rPr>
                  <w:t>M1.5</w:t>
                </w:r>
                <w:r>
                  <w:t xml:space="preserve"> CVD-grown graphene for ASL-GTeraFET</w:t>
                </w:r>
              </w:p>
            </w:tc>
            <w:tc>
              <w:tcPr>
                <w:tcW w:w="3210" w:type="dxa"/>
                <w:shd w:val="clear" w:color="auto" w:fill="auto"/>
                <w:tcMar>
                  <w:top w:w="100" w:type="dxa"/>
                  <w:left w:w="100" w:type="dxa"/>
                  <w:bottom w:w="100" w:type="dxa"/>
                  <w:right w:w="100" w:type="dxa"/>
                </w:tcMar>
                <w:vAlign w:val="center"/>
              </w:tcPr>
              <w:p w14:paraId="683995E6" w14:textId="77777777" w:rsidR="00134B9E" w:rsidRDefault="00EC6124">
                <w:pPr>
                  <w:widowControl w:val="0"/>
                  <w:pBdr>
                    <w:top w:val="nil"/>
                    <w:left w:val="nil"/>
                    <w:bottom w:val="nil"/>
                    <w:right w:val="nil"/>
                    <w:between w:val="nil"/>
                  </w:pBdr>
                  <w:spacing w:after="0" w:line="240" w:lineRule="auto"/>
                </w:pPr>
                <w:r>
                  <w:rPr>
                    <w:b/>
                  </w:rPr>
                  <w:t>D1.6</w:t>
                </w:r>
                <w:r>
                  <w:t xml:space="preserve"> Report on the scalability of the ASL-GTeraFET design (M18)</w:t>
                </w:r>
              </w:p>
            </w:tc>
          </w:tr>
          <w:tr w:rsidR="00134B9E" w14:paraId="6277B89B" w14:textId="77777777">
            <w:tc>
              <w:tcPr>
                <w:tcW w:w="1560" w:type="dxa"/>
                <w:shd w:val="clear" w:color="auto" w:fill="auto"/>
                <w:tcMar>
                  <w:top w:w="100" w:type="dxa"/>
                  <w:left w:w="100" w:type="dxa"/>
                  <w:bottom w:w="100" w:type="dxa"/>
                  <w:right w:w="100" w:type="dxa"/>
                </w:tcMar>
                <w:vAlign w:val="center"/>
              </w:tcPr>
              <w:p w14:paraId="07329FB8" w14:textId="77777777" w:rsidR="00134B9E" w:rsidRDefault="00EC6124">
                <w:pPr>
                  <w:widowControl w:val="0"/>
                  <w:pBdr>
                    <w:top w:val="nil"/>
                    <w:left w:val="nil"/>
                    <w:bottom w:val="nil"/>
                    <w:right w:val="nil"/>
                    <w:between w:val="nil"/>
                  </w:pBdr>
                  <w:spacing w:after="0" w:line="240" w:lineRule="auto"/>
                  <w:jc w:val="center"/>
                </w:pPr>
                <w:r>
                  <w:t>WP1</w:t>
                </w:r>
              </w:p>
            </w:tc>
            <w:tc>
              <w:tcPr>
                <w:tcW w:w="4275" w:type="dxa"/>
                <w:shd w:val="clear" w:color="auto" w:fill="auto"/>
                <w:tcMar>
                  <w:top w:w="100" w:type="dxa"/>
                  <w:left w:w="100" w:type="dxa"/>
                  <w:bottom w:w="100" w:type="dxa"/>
                  <w:right w:w="100" w:type="dxa"/>
                </w:tcMar>
                <w:vAlign w:val="center"/>
              </w:tcPr>
              <w:p w14:paraId="3C25F743" w14:textId="77777777" w:rsidR="00134B9E" w:rsidRDefault="00134B9E">
                <w:pPr>
                  <w:widowControl w:val="0"/>
                  <w:pBdr>
                    <w:top w:val="nil"/>
                    <w:left w:val="nil"/>
                    <w:bottom w:val="nil"/>
                    <w:right w:val="nil"/>
                    <w:between w:val="nil"/>
                  </w:pBdr>
                  <w:spacing w:after="0" w:line="240" w:lineRule="auto"/>
                </w:pPr>
              </w:p>
            </w:tc>
            <w:tc>
              <w:tcPr>
                <w:tcW w:w="3210" w:type="dxa"/>
                <w:shd w:val="clear" w:color="auto" w:fill="auto"/>
                <w:tcMar>
                  <w:top w:w="100" w:type="dxa"/>
                  <w:left w:w="100" w:type="dxa"/>
                  <w:bottom w:w="100" w:type="dxa"/>
                  <w:right w:w="100" w:type="dxa"/>
                </w:tcMar>
                <w:vAlign w:val="center"/>
              </w:tcPr>
              <w:p w14:paraId="178B9FA2" w14:textId="77777777" w:rsidR="00134B9E" w:rsidRDefault="00EC6124">
                <w:pPr>
                  <w:widowControl w:val="0"/>
                  <w:spacing w:after="0" w:line="240" w:lineRule="auto"/>
                </w:pPr>
                <w:r>
                  <w:rPr>
                    <w:b/>
                  </w:rPr>
                  <w:t>D1.7</w:t>
                </w:r>
                <w:r>
                  <w:t xml:space="preserve"> Scientific paper on scalability (M24)</w:t>
                </w:r>
              </w:p>
            </w:tc>
          </w:tr>
          <w:tr w:rsidR="00134B9E" w14:paraId="442DAC07" w14:textId="77777777">
            <w:tc>
              <w:tcPr>
                <w:tcW w:w="1560" w:type="dxa"/>
                <w:shd w:val="clear" w:color="auto" w:fill="auto"/>
                <w:tcMar>
                  <w:top w:w="100" w:type="dxa"/>
                  <w:left w:w="100" w:type="dxa"/>
                  <w:bottom w:w="100" w:type="dxa"/>
                  <w:right w:w="100" w:type="dxa"/>
                </w:tcMar>
                <w:vAlign w:val="center"/>
              </w:tcPr>
              <w:p w14:paraId="25F1F956" w14:textId="77777777" w:rsidR="00134B9E" w:rsidRDefault="00EC6124">
                <w:pPr>
                  <w:widowControl w:val="0"/>
                  <w:pBdr>
                    <w:top w:val="nil"/>
                    <w:left w:val="nil"/>
                    <w:bottom w:val="nil"/>
                    <w:right w:val="nil"/>
                    <w:between w:val="nil"/>
                  </w:pBdr>
                  <w:spacing w:after="0" w:line="240" w:lineRule="auto"/>
                  <w:jc w:val="center"/>
                </w:pPr>
                <w:r>
                  <w:t>WP1</w:t>
                </w:r>
              </w:p>
            </w:tc>
            <w:tc>
              <w:tcPr>
                <w:tcW w:w="4275" w:type="dxa"/>
                <w:shd w:val="clear" w:color="auto" w:fill="auto"/>
                <w:tcMar>
                  <w:top w:w="100" w:type="dxa"/>
                  <w:left w:w="100" w:type="dxa"/>
                  <w:bottom w:w="100" w:type="dxa"/>
                  <w:right w:w="100" w:type="dxa"/>
                </w:tcMar>
                <w:vAlign w:val="center"/>
              </w:tcPr>
              <w:p w14:paraId="4EF728B7" w14:textId="77777777" w:rsidR="00134B9E" w:rsidRDefault="00134B9E">
                <w:pPr>
                  <w:widowControl w:val="0"/>
                  <w:pBdr>
                    <w:top w:val="nil"/>
                    <w:left w:val="nil"/>
                    <w:bottom w:val="nil"/>
                    <w:right w:val="nil"/>
                    <w:between w:val="nil"/>
                  </w:pBdr>
                  <w:spacing w:after="0" w:line="240" w:lineRule="auto"/>
                </w:pPr>
              </w:p>
            </w:tc>
            <w:tc>
              <w:tcPr>
                <w:tcW w:w="3210" w:type="dxa"/>
                <w:shd w:val="clear" w:color="auto" w:fill="auto"/>
                <w:tcMar>
                  <w:top w:w="100" w:type="dxa"/>
                  <w:left w:w="100" w:type="dxa"/>
                  <w:bottom w:w="100" w:type="dxa"/>
                  <w:right w:w="100" w:type="dxa"/>
                </w:tcMar>
                <w:vAlign w:val="center"/>
              </w:tcPr>
              <w:p w14:paraId="7AE1D177" w14:textId="77777777" w:rsidR="00134B9E" w:rsidRDefault="00EC6124">
                <w:pPr>
                  <w:widowControl w:val="0"/>
                  <w:spacing w:after="0" w:line="240" w:lineRule="auto"/>
                </w:pPr>
                <w:r>
                  <w:rPr>
                    <w:b/>
                  </w:rPr>
                  <w:t>D1.8</w:t>
                </w:r>
                <w:r>
                  <w:t xml:space="preserve"> Patent filing (M22)</w:t>
                </w:r>
              </w:p>
            </w:tc>
          </w:tr>
          <w:tr w:rsidR="00134B9E" w14:paraId="626F28FD" w14:textId="77777777">
            <w:tc>
              <w:tcPr>
                <w:tcW w:w="1560" w:type="dxa"/>
                <w:shd w:val="clear" w:color="auto" w:fill="auto"/>
                <w:tcMar>
                  <w:top w:w="100" w:type="dxa"/>
                  <w:left w:w="100" w:type="dxa"/>
                  <w:bottom w:w="100" w:type="dxa"/>
                  <w:right w:w="100" w:type="dxa"/>
                </w:tcMar>
                <w:vAlign w:val="center"/>
              </w:tcPr>
              <w:p w14:paraId="272D74AB" w14:textId="77777777" w:rsidR="00134B9E" w:rsidRDefault="00EC6124">
                <w:pPr>
                  <w:widowControl w:val="0"/>
                  <w:pBdr>
                    <w:top w:val="nil"/>
                    <w:left w:val="nil"/>
                    <w:bottom w:val="nil"/>
                    <w:right w:val="nil"/>
                    <w:between w:val="nil"/>
                  </w:pBdr>
                  <w:spacing w:after="0" w:line="240" w:lineRule="auto"/>
                  <w:jc w:val="center"/>
                </w:pPr>
                <w:r>
                  <w:t>WP2</w:t>
                </w:r>
              </w:p>
            </w:tc>
            <w:tc>
              <w:tcPr>
                <w:tcW w:w="4275" w:type="dxa"/>
                <w:shd w:val="clear" w:color="auto" w:fill="auto"/>
                <w:tcMar>
                  <w:top w:w="100" w:type="dxa"/>
                  <w:left w:w="100" w:type="dxa"/>
                  <w:bottom w:w="100" w:type="dxa"/>
                  <w:right w:w="100" w:type="dxa"/>
                </w:tcMar>
                <w:vAlign w:val="center"/>
              </w:tcPr>
              <w:p w14:paraId="15E17BB9" w14:textId="77777777" w:rsidR="00134B9E" w:rsidRDefault="00134B9E">
                <w:pPr>
                  <w:widowControl w:val="0"/>
                  <w:pBdr>
                    <w:top w:val="nil"/>
                    <w:left w:val="nil"/>
                    <w:bottom w:val="nil"/>
                    <w:right w:val="nil"/>
                    <w:between w:val="nil"/>
                  </w:pBdr>
                  <w:spacing w:after="0" w:line="240" w:lineRule="auto"/>
                  <w:rPr>
                    <w:b/>
                  </w:rPr>
                </w:pPr>
              </w:p>
            </w:tc>
            <w:tc>
              <w:tcPr>
                <w:tcW w:w="3210" w:type="dxa"/>
                <w:shd w:val="clear" w:color="auto" w:fill="auto"/>
                <w:tcMar>
                  <w:top w:w="100" w:type="dxa"/>
                  <w:left w:w="100" w:type="dxa"/>
                  <w:bottom w:w="100" w:type="dxa"/>
                  <w:right w:w="100" w:type="dxa"/>
                </w:tcMar>
                <w:vAlign w:val="center"/>
              </w:tcPr>
              <w:p w14:paraId="06541325" w14:textId="77777777" w:rsidR="00134B9E" w:rsidRDefault="00EC6124">
                <w:pPr>
                  <w:widowControl w:val="0"/>
                  <w:spacing w:after="0" w:line="240" w:lineRule="auto"/>
                  <w:rPr>
                    <w:b/>
                  </w:rPr>
                </w:pPr>
                <w:r>
                  <w:rPr>
                    <w:b/>
                  </w:rPr>
                  <w:t xml:space="preserve">D2.1 </w:t>
                </w:r>
                <w:r>
                  <w:t>Report on the numerically simulated performance of the regulator (M10)</w:t>
                </w:r>
              </w:p>
            </w:tc>
          </w:tr>
          <w:tr w:rsidR="00134B9E" w14:paraId="7FF64EAE" w14:textId="77777777">
            <w:tc>
              <w:tcPr>
                <w:tcW w:w="1560" w:type="dxa"/>
                <w:shd w:val="clear" w:color="auto" w:fill="auto"/>
                <w:tcMar>
                  <w:top w:w="100" w:type="dxa"/>
                  <w:left w:w="100" w:type="dxa"/>
                  <w:bottom w:w="100" w:type="dxa"/>
                  <w:right w:w="100" w:type="dxa"/>
                </w:tcMar>
                <w:vAlign w:val="center"/>
              </w:tcPr>
              <w:p w14:paraId="5D8454BD" w14:textId="77777777" w:rsidR="00134B9E" w:rsidRDefault="00EC6124">
                <w:pPr>
                  <w:widowControl w:val="0"/>
                  <w:pBdr>
                    <w:top w:val="nil"/>
                    <w:left w:val="nil"/>
                    <w:bottom w:val="nil"/>
                    <w:right w:val="nil"/>
                    <w:between w:val="nil"/>
                  </w:pBdr>
                  <w:spacing w:after="0" w:line="240" w:lineRule="auto"/>
                  <w:jc w:val="center"/>
                </w:pPr>
                <w:r>
                  <w:t>WP2</w:t>
                </w:r>
              </w:p>
            </w:tc>
            <w:tc>
              <w:tcPr>
                <w:tcW w:w="4275" w:type="dxa"/>
                <w:shd w:val="clear" w:color="auto" w:fill="auto"/>
                <w:tcMar>
                  <w:top w:w="100" w:type="dxa"/>
                  <w:left w:w="100" w:type="dxa"/>
                  <w:bottom w:w="100" w:type="dxa"/>
                  <w:right w:w="100" w:type="dxa"/>
                </w:tcMar>
                <w:vAlign w:val="center"/>
              </w:tcPr>
              <w:p w14:paraId="38B3C6E7" w14:textId="77777777" w:rsidR="00134B9E" w:rsidRDefault="00EC6124">
                <w:pPr>
                  <w:widowControl w:val="0"/>
                  <w:pBdr>
                    <w:top w:val="nil"/>
                    <w:left w:val="nil"/>
                    <w:bottom w:val="nil"/>
                    <w:right w:val="nil"/>
                    <w:between w:val="nil"/>
                  </w:pBdr>
                  <w:spacing w:after="0" w:line="240" w:lineRule="auto"/>
                </w:pPr>
                <w:r>
                  <w:rPr>
                    <w:b/>
                  </w:rPr>
                  <w:t>M2.1</w:t>
                </w:r>
                <w:r>
                  <w:t xml:space="preserve"> Fabrication of the regulator (M14)</w:t>
                </w:r>
              </w:p>
            </w:tc>
            <w:tc>
              <w:tcPr>
                <w:tcW w:w="3210" w:type="dxa"/>
                <w:shd w:val="clear" w:color="auto" w:fill="auto"/>
                <w:tcMar>
                  <w:top w:w="100" w:type="dxa"/>
                  <w:left w:w="100" w:type="dxa"/>
                  <w:bottom w:w="100" w:type="dxa"/>
                  <w:right w:w="100" w:type="dxa"/>
                </w:tcMar>
                <w:vAlign w:val="center"/>
              </w:tcPr>
              <w:p w14:paraId="63E26980" w14:textId="77777777" w:rsidR="00134B9E" w:rsidRDefault="00EC6124">
                <w:pPr>
                  <w:widowControl w:val="0"/>
                  <w:spacing w:after="0" w:line="240" w:lineRule="auto"/>
                </w:pPr>
                <w:r>
                  <w:rPr>
                    <w:b/>
                  </w:rPr>
                  <w:t>D2.2</w:t>
                </w:r>
                <w:r>
                  <w:t xml:space="preserve"> Report on the protocols to fabricate the regulator (M14)</w:t>
                </w:r>
              </w:p>
            </w:tc>
          </w:tr>
          <w:tr w:rsidR="00134B9E" w14:paraId="16CA1CD2" w14:textId="77777777">
            <w:tc>
              <w:tcPr>
                <w:tcW w:w="1560" w:type="dxa"/>
                <w:shd w:val="clear" w:color="auto" w:fill="auto"/>
                <w:tcMar>
                  <w:top w:w="100" w:type="dxa"/>
                  <w:left w:w="100" w:type="dxa"/>
                  <w:bottom w:w="100" w:type="dxa"/>
                  <w:right w:w="100" w:type="dxa"/>
                </w:tcMar>
                <w:vAlign w:val="center"/>
              </w:tcPr>
              <w:p w14:paraId="27355ABB" w14:textId="77777777" w:rsidR="00134B9E" w:rsidRDefault="00EC6124">
                <w:pPr>
                  <w:widowControl w:val="0"/>
                  <w:pBdr>
                    <w:top w:val="nil"/>
                    <w:left w:val="nil"/>
                    <w:bottom w:val="nil"/>
                    <w:right w:val="nil"/>
                    <w:between w:val="nil"/>
                  </w:pBdr>
                  <w:spacing w:after="0" w:line="240" w:lineRule="auto"/>
                  <w:jc w:val="center"/>
                </w:pPr>
                <w:r>
                  <w:t>WP2</w:t>
                </w:r>
              </w:p>
            </w:tc>
            <w:tc>
              <w:tcPr>
                <w:tcW w:w="4275" w:type="dxa"/>
                <w:shd w:val="clear" w:color="auto" w:fill="auto"/>
                <w:tcMar>
                  <w:top w:w="100" w:type="dxa"/>
                  <w:left w:w="100" w:type="dxa"/>
                  <w:bottom w:w="100" w:type="dxa"/>
                  <w:right w:w="100" w:type="dxa"/>
                </w:tcMar>
                <w:vAlign w:val="center"/>
              </w:tcPr>
              <w:p w14:paraId="44E6729A" w14:textId="77777777" w:rsidR="00134B9E" w:rsidRDefault="00EC6124">
                <w:pPr>
                  <w:widowControl w:val="0"/>
                  <w:spacing w:after="0" w:line="240" w:lineRule="auto"/>
                </w:pPr>
                <w:r>
                  <w:rPr>
                    <w:b/>
                  </w:rPr>
                  <w:t>M2.2</w:t>
                </w:r>
                <w:r>
                  <w:t xml:space="preserve"> I-V characteristics of the regulator (M18)</w:t>
                </w:r>
              </w:p>
            </w:tc>
            <w:tc>
              <w:tcPr>
                <w:tcW w:w="3210" w:type="dxa"/>
                <w:shd w:val="clear" w:color="auto" w:fill="auto"/>
                <w:tcMar>
                  <w:top w:w="100" w:type="dxa"/>
                  <w:left w:w="100" w:type="dxa"/>
                  <w:bottom w:w="100" w:type="dxa"/>
                  <w:right w:w="100" w:type="dxa"/>
                </w:tcMar>
                <w:vAlign w:val="center"/>
              </w:tcPr>
              <w:p w14:paraId="57C76066" w14:textId="77777777" w:rsidR="00134B9E" w:rsidRDefault="00EC6124">
                <w:pPr>
                  <w:widowControl w:val="0"/>
                  <w:spacing w:after="0" w:line="240" w:lineRule="auto"/>
                </w:pPr>
                <w:r>
                  <w:rPr>
                    <w:b/>
                  </w:rPr>
                  <w:t>D2.3</w:t>
                </w:r>
                <w:r>
                  <w:t xml:space="preserve"> Report of the regulator response at various temperatures (M18)</w:t>
                </w:r>
              </w:p>
            </w:tc>
          </w:tr>
          <w:tr w:rsidR="00134B9E" w14:paraId="3EEDE454" w14:textId="77777777">
            <w:tc>
              <w:tcPr>
                <w:tcW w:w="1560" w:type="dxa"/>
                <w:shd w:val="clear" w:color="auto" w:fill="auto"/>
                <w:tcMar>
                  <w:top w:w="100" w:type="dxa"/>
                  <w:left w:w="100" w:type="dxa"/>
                  <w:bottom w:w="100" w:type="dxa"/>
                  <w:right w:w="100" w:type="dxa"/>
                </w:tcMar>
                <w:vAlign w:val="center"/>
              </w:tcPr>
              <w:p w14:paraId="62C0701D" w14:textId="77777777" w:rsidR="00134B9E" w:rsidRDefault="00EC6124">
                <w:pPr>
                  <w:widowControl w:val="0"/>
                  <w:pBdr>
                    <w:top w:val="nil"/>
                    <w:left w:val="nil"/>
                    <w:bottom w:val="nil"/>
                    <w:right w:val="nil"/>
                    <w:between w:val="nil"/>
                  </w:pBdr>
                  <w:spacing w:after="0" w:line="240" w:lineRule="auto"/>
                  <w:jc w:val="center"/>
                </w:pPr>
                <w:r>
                  <w:t>WP2</w:t>
                </w:r>
              </w:p>
            </w:tc>
            <w:tc>
              <w:tcPr>
                <w:tcW w:w="4275" w:type="dxa"/>
                <w:shd w:val="clear" w:color="auto" w:fill="auto"/>
                <w:tcMar>
                  <w:top w:w="100" w:type="dxa"/>
                  <w:left w:w="100" w:type="dxa"/>
                  <w:bottom w:w="100" w:type="dxa"/>
                  <w:right w:w="100" w:type="dxa"/>
                </w:tcMar>
                <w:vAlign w:val="center"/>
              </w:tcPr>
              <w:p w14:paraId="0B9A01D9" w14:textId="77777777" w:rsidR="00134B9E" w:rsidRDefault="00134B9E">
                <w:pPr>
                  <w:widowControl w:val="0"/>
                  <w:spacing w:after="0" w:line="240" w:lineRule="auto"/>
                </w:pPr>
              </w:p>
            </w:tc>
            <w:tc>
              <w:tcPr>
                <w:tcW w:w="3210" w:type="dxa"/>
                <w:shd w:val="clear" w:color="auto" w:fill="auto"/>
                <w:tcMar>
                  <w:top w:w="100" w:type="dxa"/>
                  <w:left w:w="100" w:type="dxa"/>
                  <w:bottom w:w="100" w:type="dxa"/>
                  <w:right w:w="100" w:type="dxa"/>
                </w:tcMar>
                <w:vAlign w:val="center"/>
              </w:tcPr>
              <w:p w14:paraId="2E45983B" w14:textId="77777777" w:rsidR="00134B9E" w:rsidRDefault="00EC6124">
                <w:pPr>
                  <w:widowControl w:val="0"/>
                  <w:pBdr>
                    <w:top w:val="nil"/>
                    <w:left w:val="nil"/>
                    <w:bottom w:val="nil"/>
                    <w:right w:val="nil"/>
                    <w:between w:val="nil"/>
                  </w:pBdr>
                  <w:spacing w:after="0" w:line="240" w:lineRule="auto"/>
                </w:pPr>
                <w:r>
                  <w:rPr>
                    <w:b/>
                  </w:rPr>
                  <w:t>D2.4</w:t>
                </w:r>
                <w:r>
                  <w:t xml:space="preserve"> Scientific paper after reports D2.1, D2.2 and D2.3 (M20)</w:t>
                </w:r>
              </w:p>
            </w:tc>
          </w:tr>
          <w:tr w:rsidR="00134B9E" w14:paraId="002312FD" w14:textId="77777777">
            <w:tc>
              <w:tcPr>
                <w:tcW w:w="1560" w:type="dxa"/>
                <w:shd w:val="clear" w:color="auto" w:fill="auto"/>
                <w:tcMar>
                  <w:top w:w="100" w:type="dxa"/>
                  <w:left w:w="100" w:type="dxa"/>
                  <w:bottom w:w="100" w:type="dxa"/>
                  <w:right w:w="100" w:type="dxa"/>
                </w:tcMar>
                <w:vAlign w:val="center"/>
              </w:tcPr>
              <w:p w14:paraId="475D3CA3" w14:textId="77777777" w:rsidR="00134B9E" w:rsidRDefault="00EC6124">
                <w:pPr>
                  <w:widowControl w:val="0"/>
                  <w:pBdr>
                    <w:top w:val="nil"/>
                    <w:left w:val="nil"/>
                    <w:bottom w:val="nil"/>
                    <w:right w:val="nil"/>
                    <w:between w:val="nil"/>
                  </w:pBdr>
                  <w:spacing w:after="0" w:line="240" w:lineRule="auto"/>
                  <w:jc w:val="center"/>
                </w:pPr>
                <w:r>
                  <w:t>WP1 &amp; WP2</w:t>
                </w:r>
              </w:p>
            </w:tc>
            <w:tc>
              <w:tcPr>
                <w:tcW w:w="4275" w:type="dxa"/>
                <w:shd w:val="clear" w:color="auto" w:fill="auto"/>
                <w:tcMar>
                  <w:top w:w="100" w:type="dxa"/>
                  <w:left w:w="100" w:type="dxa"/>
                  <w:bottom w:w="100" w:type="dxa"/>
                  <w:right w:w="100" w:type="dxa"/>
                </w:tcMar>
                <w:vAlign w:val="center"/>
              </w:tcPr>
              <w:p w14:paraId="5EEC160D" w14:textId="77777777" w:rsidR="00134B9E" w:rsidRDefault="00134B9E">
                <w:pPr>
                  <w:widowControl w:val="0"/>
                  <w:pBdr>
                    <w:top w:val="nil"/>
                    <w:left w:val="nil"/>
                    <w:bottom w:val="nil"/>
                    <w:right w:val="nil"/>
                    <w:between w:val="nil"/>
                  </w:pBdr>
                  <w:spacing w:after="0" w:line="240" w:lineRule="auto"/>
                </w:pPr>
              </w:p>
            </w:tc>
            <w:tc>
              <w:tcPr>
                <w:tcW w:w="3210" w:type="dxa"/>
                <w:shd w:val="clear" w:color="auto" w:fill="auto"/>
                <w:tcMar>
                  <w:top w:w="100" w:type="dxa"/>
                  <w:left w:w="100" w:type="dxa"/>
                  <w:bottom w:w="100" w:type="dxa"/>
                  <w:right w:w="100" w:type="dxa"/>
                </w:tcMar>
                <w:vAlign w:val="center"/>
              </w:tcPr>
              <w:p w14:paraId="2216CC96" w14:textId="77777777" w:rsidR="00134B9E" w:rsidRDefault="00EC6124">
                <w:pPr>
                  <w:widowControl w:val="0"/>
                  <w:pBdr>
                    <w:top w:val="nil"/>
                    <w:left w:val="nil"/>
                    <w:bottom w:val="nil"/>
                    <w:right w:val="nil"/>
                    <w:between w:val="nil"/>
                  </w:pBdr>
                  <w:spacing w:after="0" w:line="240" w:lineRule="auto"/>
                </w:pPr>
                <w:r>
                  <w:rPr>
                    <w:b/>
                  </w:rPr>
                  <w:t>D2.5</w:t>
                </w:r>
                <w:r>
                  <w:t xml:space="preserve"> Review paper on electron hydrodynamics for graphene-</w:t>
                </w:r>
              </w:p>
              <w:p w14:paraId="5FB3647E" w14:textId="77777777" w:rsidR="00134B9E" w:rsidRDefault="00EC6124">
                <w:pPr>
                  <w:widowControl w:val="0"/>
                  <w:pBdr>
                    <w:top w:val="nil"/>
                    <w:left w:val="nil"/>
                    <w:bottom w:val="nil"/>
                    <w:right w:val="nil"/>
                    <w:between w:val="nil"/>
                  </w:pBdr>
                  <w:spacing w:after="0" w:line="240" w:lineRule="auto"/>
                </w:pPr>
                <w:r>
                  <w:t>based electronics (M24)</w:t>
                </w:r>
              </w:p>
            </w:tc>
          </w:tr>
          <w:tr w:rsidR="00134B9E" w14:paraId="7EC9FBB8" w14:textId="77777777">
            <w:tc>
              <w:tcPr>
                <w:tcW w:w="1560" w:type="dxa"/>
                <w:shd w:val="clear" w:color="auto" w:fill="auto"/>
                <w:tcMar>
                  <w:top w:w="100" w:type="dxa"/>
                  <w:left w:w="100" w:type="dxa"/>
                  <w:bottom w:w="100" w:type="dxa"/>
                  <w:right w:w="100" w:type="dxa"/>
                </w:tcMar>
                <w:vAlign w:val="center"/>
              </w:tcPr>
              <w:p w14:paraId="5C9C25E3" w14:textId="77777777" w:rsidR="00134B9E" w:rsidRDefault="00EC6124">
                <w:pPr>
                  <w:widowControl w:val="0"/>
                  <w:pBdr>
                    <w:top w:val="nil"/>
                    <w:left w:val="nil"/>
                    <w:bottom w:val="nil"/>
                    <w:right w:val="nil"/>
                    <w:between w:val="nil"/>
                  </w:pBdr>
                  <w:spacing w:after="0" w:line="240" w:lineRule="auto"/>
                  <w:jc w:val="center"/>
                </w:pPr>
                <w:r>
                  <w:t>WP3</w:t>
                </w:r>
              </w:p>
            </w:tc>
            <w:tc>
              <w:tcPr>
                <w:tcW w:w="4275" w:type="dxa"/>
                <w:shd w:val="clear" w:color="auto" w:fill="auto"/>
                <w:tcMar>
                  <w:top w:w="100" w:type="dxa"/>
                  <w:left w:w="100" w:type="dxa"/>
                  <w:bottom w:w="100" w:type="dxa"/>
                  <w:right w:w="100" w:type="dxa"/>
                </w:tcMar>
                <w:vAlign w:val="center"/>
              </w:tcPr>
              <w:p w14:paraId="6D665539" w14:textId="77777777" w:rsidR="00134B9E" w:rsidRDefault="00134B9E">
                <w:pPr>
                  <w:widowControl w:val="0"/>
                  <w:pBdr>
                    <w:top w:val="nil"/>
                    <w:left w:val="nil"/>
                    <w:bottom w:val="nil"/>
                    <w:right w:val="nil"/>
                    <w:between w:val="nil"/>
                  </w:pBdr>
                  <w:spacing w:after="0" w:line="240" w:lineRule="auto"/>
                </w:pPr>
              </w:p>
            </w:tc>
            <w:tc>
              <w:tcPr>
                <w:tcW w:w="3210" w:type="dxa"/>
                <w:shd w:val="clear" w:color="auto" w:fill="auto"/>
                <w:tcMar>
                  <w:top w:w="100" w:type="dxa"/>
                  <w:left w:w="100" w:type="dxa"/>
                  <w:bottom w:w="100" w:type="dxa"/>
                  <w:right w:w="100" w:type="dxa"/>
                </w:tcMar>
                <w:vAlign w:val="center"/>
              </w:tcPr>
              <w:p w14:paraId="09E0592E" w14:textId="77777777" w:rsidR="00134B9E" w:rsidRDefault="00EC6124">
                <w:pPr>
                  <w:widowControl w:val="0"/>
                  <w:spacing w:after="0" w:line="240" w:lineRule="auto"/>
                </w:pPr>
                <w:r>
                  <w:rPr>
                    <w:b/>
                  </w:rPr>
                  <w:t xml:space="preserve">D3.1 </w:t>
                </w:r>
                <w:r>
                  <w:t>Meeting with Unidad de Protección Intelectual at USAL to present the planned devices.</w:t>
                </w:r>
              </w:p>
            </w:tc>
          </w:tr>
          <w:tr w:rsidR="00134B9E" w14:paraId="2580789F" w14:textId="77777777">
            <w:tc>
              <w:tcPr>
                <w:tcW w:w="1560" w:type="dxa"/>
                <w:shd w:val="clear" w:color="auto" w:fill="auto"/>
                <w:tcMar>
                  <w:top w:w="100" w:type="dxa"/>
                  <w:left w:w="100" w:type="dxa"/>
                  <w:bottom w:w="100" w:type="dxa"/>
                  <w:right w:w="100" w:type="dxa"/>
                </w:tcMar>
                <w:vAlign w:val="center"/>
              </w:tcPr>
              <w:p w14:paraId="25CAC306" w14:textId="77777777" w:rsidR="00134B9E" w:rsidRDefault="00EC6124">
                <w:pPr>
                  <w:widowControl w:val="0"/>
                  <w:pBdr>
                    <w:top w:val="nil"/>
                    <w:left w:val="nil"/>
                    <w:bottom w:val="nil"/>
                    <w:right w:val="nil"/>
                    <w:between w:val="nil"/>
                  </w:pBdr>
                  <w:spacing w:after="0" w:line="240" w:lineRule="auto"/>
                  <w:jc w:val="center"/>
                </w:pPr>
                <w:r>
                  <w:t>WP3</w:t>
                </w:r>
              </w:p>
            </w:tc>
            <w:tc>
              <w:tcPr>
                <w:tcW w:w="4275" w:type="dxa"/>
                <w:shd w:val="clear" w:color="auto" w:fill="auto"/>
                <w:tcMar>
                  <w:top w:w="100" w:type="dxa"/>
                  <w:left w:w="100" w:type="dxa"/>
                  <w:bottom w:w="100" w:type="dxa"/>
                  <w:right w:w="100" w:type="dxa"/>
                </w:tcMar>
                <w:vAlign w:val="center"/>
              </w:tcPr>
              <w:p w14:paraId="6EA87659" w14:textId="77777777" w:rsidR="00134B9E" w:rsidRDefault="00134B9E">
                <w:pPr>
                  <w:widowControl w:val="0"/>
                  <w:pBdr>
                    <w:top w:val="nil"/>
                    <w:left w:val="nil"/>
                    <w:bottom w:val="nil"/>
                    <w:right w:val="nil"/>
                    <w:between w:val="nil"/>
                  </w:pBdr>
                  <w:spacing w:after="0" w:line="240" w:lineRule="auto"/>
                </w:pPr>
              </w:p>
            </w:tc>
            <w:tc>
              <w:tcPr>
                <w:tcW w:w="3210" w:type="dxa"/>
                <w:shd w:val="clear" w:color="auto" w:fill="auto"/>
                <w:tcMar>
                  <w:top w:w="100" w:type="dxa"/>
                  <w:left w:w="100" w:type="dxa"/>
                  <w:bottom w:w="100" w:type="dxa"/>
                  <w:right w:w="100" w:type="dxa"/>
                </w:tcMar>
                <w:vAlign w:val="center"/>
              </w:tcPr>
              <w:p w14:paraId="4FD124E0" w14:textId="77777777" w:rsidR="00134B9E" w:rsidRDefault="00EC6124">
                <w:pPr>
                  <w:widowControl w:val="0"/>
                  <w:spacing w:after="0" w:line="240" w:lineRule="auto"/>
                  <w:rPr>
                    <w:b/>
                  </w:rPr>
                </w:pPr>
                <w:r>
                  <w:rPr>
                    <w:b/>
                  </w:rPr>
                  <w:t xml:space="preserve">D3.2 </w:t>
                </w:r>
                <w:r>
                  <w:t>One-day coordination workshop (M2, M8, M14, M20)</w:t>
                </w:r>
              </w:p>
            </w:tc>
          </w:tr>
          <w:tr w:rsidR="00134B9E" w14:paraId="54814321" w14:textId="77777777">
            <w:tc>
              <w:tcPr>
                <w:tcW w:w="1560" w:type="dxa"/>
                <w:shd w:val="clear" w:color="auto" w:fill="auto"/>
                <w:tcMar>
                  <w:top w:w="100" w:type="dxa"/>
                  <w:left w:w="100" w:type="dxa"/>
                  <w:bottom w:w="100" w:type="dxa"/>
                  <w:right w:w="100" w:type="dxa"/>
                </w:tcMar>
                <w:vAlign w:val="center"/>
              </w:tcPr>
              <w:p w14:paraId="4CA03E08" w14:textId="77777777" w:rsidR="00134B9E" w:rsidRDefault="00EC6124">
                <w:pPr>
                  <w:widowControl w:val="0"/>
                  <w:pBdr>
                    <w:top w:val="nil"/>
                    <w:left w:val="nil"/>
                    <w:bottom w:val="nil"/>
                    <w:right w:val="nil"/>
                    <w:between w:val="nil"/>
                  </w:pBdr>
                  <w:spacing w:after="0" w:line="240" w:lineRule="auto"/>
                  <w:jc w:val="center"/>
                </w:pPr>
                <w:r>
                  <w:t>WP3</w:t>
                </w:r>
              </w:p>
            </w:tc>
            <w:tc>
              <w:tcPr>
                <w:tcW w:w="4275" w:type="dxa"/>
                <w:shd w:val="clear" w:color="auto" w:fill="auto"/>
                <w:tcMar>
                  <w:top w:w="100" w:type="dxa"/>
                  <w:left w:w="100" w:type="dxa"/>
                  <w:bottom w:w="100" w:type="dxa"/>
                  <w:right w:w="100" w:type="dxa"/>
                </w:tcMar>
                <w:vAlign w:val="center"/>
              </w:tcPr>
              <w:p w14:paraId="3A78A3AE" w14:textId="77777777" w:rsidR="00134B9E" w:rsidRDefault="00134B9E">
                <w:pPr>
                  <w:widowControl w:val="0"/>
                  <w:pBdr>
                    <w:top w:val="nil"/>
                    <w:left w:val="nil"/>
                    <w:bottom w:val="nil"/>
                    <w:right w:val="nil"/>
                    <w:between w:val="nil"/>
                  </w:pBdr>
                  <w:spacing w:after="0" w:line="240" w:lineRule="auto"/>
                </w:pPr>
              </w:p>
            </w:tc>
            <w:tc>
              <w:tcPr>
                <w:tcW w:w="3210" w:type="dxa"/>
                <w:shd w:val="clear" w:color="auto" w:fill="auto"/>
                <w:tcMar>
                  <w:top w:w="100" w:type="dxa"/>
                  <w:left w:w="100" w:type="dxa"/>
                  <w:bottom w:w="100" w:type="dxa"/>
                  <w:right w:w="100" w:type="dxa"/>
                </w:tcMar>
                <w:vAlign w:val="center"/>
              </w:tcPr>
              <w:p w14:paraId="412C1DD5" w14:textId="77777777" w:rsidR="00134B9E" w:rsidRDefault="00EC6124">
                <w:pPr>
                  <w:widowControl w:val="0"/>
                  <w:pBdr>
                    <w:top w:val="nil"/>
                    <w:left w:val="nil"/>
                    <w:bottom w:val="nil"/>
                    <w:right w:val="nil"/>
                    <w:between w:val="nil"/>
                  </w:pBdr>
                  <w:spacing w:after="0" w:line="240" w:lineRule="auto"/>
                </w:pPr>
                <w:r>
                  <w:rPr>
                    <w:b/>
                  </w:rPr>
                  <w:t>D3.3</w:t>
                </w:r>
                <w:r>
                  <w:t xml:space="preserve"> Data management plan (M12, M24)</w:t>
                </w:r>
              </w:p>
            </w:tc>
          </w:tr>
          <w:tr w:rsidR="00134B9E" w:rsidRPr="00037AD5" w14:paraId="72640FAC" w14:textId="77777777">
            <w:tc>
              <w:tcPr>
                <w:tcW w:w="1560" w:type="dxa"/>
                <w:shd w:val="clear" w:color="auto" w:fill="auto"/>
                <w:tcMar>
                  <w:top w:w="100" w:type="dxa"/>
                  <w:left w:w="100" w:type="dxa"/>
                  <w:bottom w:w="100" w:type="dxa"/>
                  <w:right w:w="100" w:type="dxa"/>
                </w:tcMar>
                <w:vAlign w:val="center"/>
              </w:tcPr>
              <w:p w14:paraId="7DF91F27" w14:textId="77777777" w:rsidR="00134B9E" w:rsidRDefault="00EC6124">
                <w:pPr>
                  <w:widowControl w:val="0"/>
                  <w:pBdr>
                    <w:top w:val="nil"/>
                    <w:left w:val="nil"/>
                    <w:bottom w:val="nil"/>
                    <w:right w:val="nil"/>
                    <w:between w:val="nil"/>
                  </w:pBdr>
                  <w:spacing w:after="0" w:line="240" w:lineRule="auto"/>
                  <w:jc w:val="center"/>
                </w:pPr>
                <w:r>
                  <w:t>WP3</w:t>
                </w:r>
              </w:p>
            </w:tc>
            <w:tc>
              <w:tcPr>
                <w:tcW w:w="4275" w:type="dxa"/>
                <w:shd w:val="clear" w:color="auto" w:fill="auto"/>
                <w:tcMar>
                  <w:top w:w="100" w:type="dxa"/>
                  <w:left w:w="100" w:type="dxa"/>
                  <w:bottom w:w="100" w:type="dxa"/>
                  <w:right w:w="100" w:type="dxa"/>
                </w:tcMar>
                <w:vAlign w:val="center"/>
              </w:tcPr>
              <w:p w14:paraId="592D1706" w14:textId="77777777" w:rsidR="00134B9E" w:rsidRDefault="00134B9E">
                <w:pPr>
                  <w:widowControl w:val="0"/>
                  <w:pBdr>
                    <w:top w:val="nil"/>
                    <w:left w:val="nil"/>
                    <w:bottom w:val="nil"/>
                    <w:right w:val="nil"/>
                    <w:between w:val="nil"/>
                  </w:pBdr>
                  <w:spacing w:after="0" w:line="240" w:lineRule="auto"/>
                </w:pPr>
              </w:p>
            </w:tc>
            <w:tc>
              <w:tcPr>
                <w:tcW w:w="3210" w:type="dxa"/>
                <w:shd w:val="clear" w:color="auto" w:fill="auto"/>
                <w:tcMar>
                  <w:top w:w="100" w:type="dxa"/>
                  <w:left w:w="100" w:type="dxa"/>
                  <w:bottom w:w="100" w:type="dxa"/>
                  <w:right w:w="100" w:type="dxa"/>
                </w:tcMar>
                <w:vAlign w:val="center"/>
              </w:tcPr>
              <w:p w14:paraId="31D924C3" w14:textId="77777777" w:rsidR="00134B9E" w:rsidRPr="00037AD5" w:rsidRDefault="00EC6124">
                <w:pPr>
                  <w:widowControl w:val="0"/>
                  <w:pBdr>
                    <w:top w:val="nil"/>
                    <w:left w:val="nil"/>
                    <w:bottom w:val="nil"/>
                    <w:right w:val="nil"/>
                    <w:between w:val="nil"/>
                  </w:pBdr>
                  <w:spacing w:after="0" w:line="240" w:lineRule="auto"/>
                  <w:rPr>
                    <w:lang w:val="en-US"/>
                  </w:rPr>
                </w:pPr>
                <w:r>
                  <w:rPr>
                    <w:b/>
                  </w:rPr>
                  <w:t>D3.4</w:t>
                </w:r>
                <w:r>
                  <w:t xml:space="preserve"> Outreach activities (M12, M24)</w:t>
                </w:r>
              </w:p>
            </w:tc>
          </w:tr>
        </w:tbl>
      </w:sdtContent>
    </w:sdt>
    <w:p w14:paraId="03BA3A97" w14:textId="77777777" w:rsidR="00134B9E" w:rsidRPr="00037AD5" w:rsidRDefault="00134B9E">
      <w:pPr>
        <w:rPr>
          <w:lang w:val="en-US"/>
        </w:rPr>
      </w:pPr>
    </w:p>
    <w:p w14:paraId="310720DB" w14:textId="77777777" w:rsidR="00EC6124" w:rsidRPr="00037AD5" w:rsidRDefault="00EC6124">
      <w:pPr>
        <w:rPr>
          <w:lang w:val="en-US"/>
        </w:rPr>
      </w:pPr>
    </w:p>
    <w:p w14:paraId="61D1EACC" w14:textId="77777777" w:rsidR="00EC6124" w:rsidRPr="00037AD5" w:rsidRDefault="00EC6124">
      <w:pPr>
        <w:rPr>
          <w:lang w:val="en-US"/>
        </w:rPr>
      </w:pPr>
    </w:p>
    <w:p w14:paraId="4A68C991" w14:textId="77777777" w:rsidR="00EC6124" w:rsidRPr="00037AD5" w:rsidRDefault="00EC6124">
      <w:pPr>
        <w:rPr>
          <w:lang w:val="en-US"/>
        </w:rPr>
      </w:pPr>
    </w:p>
    <w:p w14:paraId="5B66CB30" w14:textId="77777777" w:rsidR="00EC6124" w:rsidRPr="00037AD5" w:rsidRDefault="00EC6124">
      <w:pPr>
        <w:rPr>
          <w:lang w:val="en-US"/>
        </w:rPr>
      </w:pPr>
    </w:p>
    <w:p w14:paraId="0AC632BD" w14:textId="77777777" w:rsidR="00EC6124" w:rsidRPr="00037AD5" w:rsidRDefault="00EC6124">
      <w:pPr>
        <w:rPr>
          <w:lang w:val="en-US"/>
        </w:rPr>
      </w:pPr>
    </w:p>
    <w:p w14:paraId="2927A093" w14:textId="77777777" w:rsidR="00EC6124" w:rsidRPr="00037AD5" w:rsidRDefault="00EC6124">
      <w:pPr>
        <w:rPr>
          <w:lang w:val="en-US"/>
        </w:rPr>
      </w:pPr>
    </w:p>
    <w:p w14:paraId="1A666523" w14:textId="77777777" w:rsidR="00134B9E" w:rsidRPr="00037AD5" w:rsidRDefault="00EC6124">
      <w:pPr>
        <w:rPr>
          <w:lang w:val="en-US"/>
        </w:rPr>
      </w:pPr>
      <w:r w:rsidRPr="00037AD5">
        <w:rPr>
          <w:lang w:val="en-US"/>
        </w:rPr>
        <w:t>The following table summarizes the researchers' participation in the 12 scheduled activities.</w:t>
      </w:r>
    </w:p>
    <w:sdt>
      <w:sdtPr>
        <w:tag w:val="goog_rdk_2"/>
        <w:id w:val="1417228263"/>
        <w:lock w:val="contentLocked"/>
      </w:sdtPr>
      <w:sdtEndPr/>
      <w:sdtContent>
        <w:tbl>
          <w:tblPr>
            <w:tblStyle w:val="a1"/>
            <w:tblW w:w="89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2"/>
            <w:gridCol w:w="1787"/>
            <w:gridCol w:w="513"/>
            <w:gridCol w:w="513"/>
            <w:gridCol w:w="512"/>
            <w:gridCol w:w="512"/>
            <w:gridCol w:w="512"/>
            <w:gridCol w:w="512"/>
            <w:gridCol w:w="512"/>
            <w:gridCol w:w="512"/>
            <w:gridCol w:w="512"/>
            <w:gridCol w:w="512"/>
            <w:gridCol w:w="512"/>
            <w:gridCol w:w="512"/>
          </w:tblGrid>
          <w:tr w:rsidR="00134B9E" w14:paraId="7969A003" w14:textId="77777777">
            <w:trPr>
              <w:trHeight w:val="478"/>
            </w:trPr>
            <w:tc>
              <w:tcPr>
                <w:tcW w:w="2805" w:type="dxa"/>
                <w:gridSpan w:val="2"/>
                <w:vMerge w:val="restart"/>
                <w:shd w:val="clear" w:color="auto" w:fill="auto"/>
                <w:tcMar>
                  <w:top w:w="100" w:type="dxa"/>
                  <w:left w:w="100" w:type="dxa"/>
                  <w:bottom w:w="100" w:type="dxa"/>
                  <w:right w:w="100" w:type="dxa"/>
                </w:tcMar>
              </w:tcPr>
              <w:p w14:paraId="65429E9E" w14:textId="77777777" w:rsidR="00134B9E" w:rsidRDefault="00134B9E">
                <w:pPr>
                  <w:widowControl w:val="0"/>
                  <w:pBdr>
                    <w:top w:val="nil"/>
                    <w:left w:val="nil"/>
                    <w:bottom w:val="nil"/>
                    <w:right w:val="nil"/>
                    <w:between w:val="nil"/>
                  </w:pBdr>
                  <w:spacing w:after="0" w:line="240" w:lineRule="auto"/>
                </w:pPr>
              </w:p>
            </w:tc>
            <w:tc>
              <w:tcPr>
                <w:tcW w:w="6144" w:type="dxa"/>
                <w:gridSpan w:val="12"/>
                <w:shd w:val="clear" w:color="auto" w:fill="FFD966"/>
                <w:tcMar>
                  <w:top w:w="100" w:type="dxa"/>
                  <w:left w:w="100" w:type="dxa"/>
                  <w:bottom w:w="100" w:type="dxa"/>
                  <w:right w:w="100" w:type="dxa"/>
                </w:tcMar>
              </w:tcPr>
              <w:p w14:paraId="47CC085D" w14:textId="77777777" w:rsidR="00134B9E" w:rsidRDefault="00EC6124">
                <w:pPr>
                  <w:widowControl w:val="0"/>
                  <w:pBdr>
                    <w:top w:val="nil"/>
                    <w:left w:val="nil"/>
                    <w:bottom w:val="nil"/>
                    <w:right w:val="nil"/>
                    <w:between w:val="nil"/>
                  </w:pBdr>
                  <w:spacing w:after="0" w:line="240" w:lineRule="auto"/>
                  <w:jc w:val="center"/>
                </w:pPr>
                <w:r>
                  <w:t>Activity</w:t>
                </w:r>
              </w:p>
            </w:tc>
          </w:tr>
          <w:tr w:rsidR="00134B9E" w14:paraId="0944E6F6" w14:textId="77777777">
            <w:trPr>
              <w:trHeight w:val="478"/>
            </w:trPr>
            <w:tc>
              <w:tcPr>
                <w:tcW w:w="2805" w:type="dxa"/>
                <w:gridSpan w:val="2"/>
                <w:vMerge/>
                <w:shd w:val="clear" w:color="auto" w:fill="auto"/>
                <w:tcMar>
                  <w:top w:w="100" w:type="dxa"/>
                  <w:left w:w="100" w:type="dxa"/>
                  <w:bottom w:w="100" w:type="dxa"/>
                  <w:right w:w="100" w:type="dxa"/>
                </w:tcMar>
              </w:tcPr>
              <w:p w14:paraId="642C9730" w14:textId="77777777" w:rsidR="00134B9E" w:rsidRDefault="00134B9E">
                <w:pPr>
                  <w:widowControl w:val="0"/>
                  <w:pBdr>
                    <w:top w:val="nil"/>
                    <w:left w:val="nil"/>
                    <w:bottom w:val="nil"/>
                    <w:right w:val="nil"/>
                    <w:between w:val="nil"/>
                  </w:pBdr>
                  <w:spacing w:after="0" w:line="240" w:lineRule="auto"/>
                </w:pPr>
              </w:p>
            </w:tc>
            <w:tc>
              <w:tcPr>
                <w:tcW w:w="512" w:type="dxa"/>
                <w:shd w:val="clear" w:color="auto" w:fill="FFD966"/>
                <w:tcMar>
                  <w:top w:w="100" w:type="dxa"/>
                  <w:left w:w="100" w:type="dxa"/>
                  <w:bottom w:w="100" w:type="dxa"/>
                  <w:right w:w="100" w:type="dxa"/>
                </w:tcMar>
              </w:tcPr>
              <w:p w14:paraId="1DB0EF45" w14:textId="77777777" w:rsidR="00134B9E" w:rsidRDefault="00EC6124">
                <w:pPr>
                  <w:widowControl w:val="0"/>
                  <w:pBdr>
                    <w:top w:val="nil"/>
                    <w:left w:val="nil"/>
                    <w:bottom w:val="nil"/>
                    <w:right w:val="nil"/>
                    <w:between w:val="nil"/>
                  </w:pBdr>
                  <w:spacing w:after="0" w:line="240" w:lineRule="auto"/>
                  <w:jc w:val="center"/>
                </w:pPr>
                <w:r>
                  <w:t>1.1</w:t>
                </w:r>
              </w:p>
            </w:tc>
            <w:tc>
              <w:tcPr>
                <w:tcW w:w="512" w:type="dxa"/>
                <w:shd w:val="clear" w:color="auto" w:fill="FFD966"/>
                <w:tcMar>
                  <w:top w:w="100" w:type="dxa"/>
                  <w:left w:w="100" w:type="dxa"/>
                  <w:bottom w:w="100" w:type="dxa"/>
                  <w:right w:w="100" w:type="dxa"/>
                </w:tcMar>
              </w:tcPr>
              <w:p w14:paraId="27D7F3F3" w14:textId="77777777" w:rsidR="00134B9E" w:rsidRDefault="00EC6124">
                <w:pPr>
                  <w:widowControl w:val="0"/>
                  <w:pBdr>
                    <w:top w:val="nil"/>
                    <w:left w:val="nil"/>
                    <w:bottom w:val="nil"/>
                    <w:right w:val="nil"/>
                    <w:between w:val="nil"/>
                  </w:pBdr>
                  <w:spacing w:after="0" w:line="240" w:lineRule="auto"/>
                  <w:jc w:val="center"/>
                </w:pPr>
                <w:r>
                  <w:t>1.2</w:t>
                </w:r>
              </w:p>
            </w:tc>
            <w:tc>
              <w:tcPr>
                <w:tcW w:w="512" w:type="dxa"/>
                <w:shd w:val="clear" w:color="auto" w:fill="FFD966"/>
                <w:tcMar>
                  <w:top w:w="100" w:type="dxa"/>
                  <w:left w:w="100" w:type="dxa"/>
                  <w:bottom w:w="100" w:type="dxa"/>
                  <w:right w:w="100" w:type="dxa"/>
                </w:tcMar>
              </w:tcPr>
              <w:p w14:paraId="22B66880" w14:textId="77777777" w:rsidR="00134B9E" w:rsidRDefault="00EC6124">
                <w:pPr>
                  <w:widowControl w:val="0"/>
                  <w:pBdr>
                    <w:top w:val="nil"/>
                    <w:left w:val="nil"/>
                    <w:bottom w:val="nil"/>
                    <w:right w:val="nil"/>
                    <w:between w:val="nil"/>
                  </w:pBdr>
                  <w:spacing w:after="0" w:line="240" w:lineRule="auto"/>
                  <w:jc w:val="center"/>
                </w:pPr>
                <w:r>
                  <w:t>1.3</w:t>
                </w:r>
              </w:p>
            </w:tc>
            <w:tc>
              <w:tcPr>
                <w:tcW w:w="512" w:type="dxa"/>
                <w:shd w:val="clear" w:color="auto" w:fill="FFD966"/>
                <w:tcMar>
                  <w:top w:w="100" w:type="dxa"/>
                  <w:left w:w="100" w:type="dxa"/>
                  <w:bottom w:w="100" w:type="dxa"/>
                  <w:right w:w="100" w:type="dxa"/>
                </w:tcMar>
              </w:tcPr>
              <w:p w14:paraId="4AD3CB52" w14:textId="77777777" w:rsidR="00134B9E" w:rsidRDefault="00EC6124">
                <w:pPr>
                  <w:widowControl w:val="0"/>
                  <w:pBdr>
                    <w:top w:val="nil"/>
                    <w:left w:val="nil"/>
                    <w:bottom w:val="nil"/>
                    <w:right w:val="nil"/>
                    <w:between w:val="nil"/>
                  </w:pBdr>
                  <w:spacing w:after="0" w:line="240" w:lineRule="auto"/>
                  <w:jc w:val="center"/>
                </w:pPr>
                <w:r>
                  <w:t>2.1</w:t>
                </w:r>
              </w:p>
            </w:tc>
            <w:tc>
              <w:tcPr>
                <w:tcW w:w="512" w:type="dxa"/>
                <w:shd w:val="clear" w:color="auto" w:fill="FFD966"/>
                <w:tcMar>
                  <w:top w:w="100" w:type="dxa"/>
                  <w:left w:w="100" w:type="dxa"/>
                  <w:bottom w:w="100" w:type="dxa"/>
                  <w:right w:w="100" w:type="dxa"/>
                </w:tcMar>
              </w:tcPr>
              <w:p w14:paraId="3A2BD3F1" w14:textId="77777777" w:rsidR="00134B9E" w:rsidRDefault="00EC6124">
                <w:pPr>
                  <w:widowControl w:val="0"/>
                  <w:pBdr>
                    <w:top w:val="nil"/>
                    <w:left w:val="nil"/>
                    <w:bottom w:val="nil"/>
                    <w:right w:val="nil"/>
                    <w:between w:val="nil"/>
                  </w:pBdr>
                  <w:spacing w:after="0" w:line="240" w:lineRule="auto"/>
                  <w:jc w:val="center"/>
                </w:pPr>
                <w:r>
                  <w:t>2.2</w:t>
                </w:r>
              </w:p>
            </w:tc>
            <w:tc>
              <w:tcPr>
                <w:tcW w:w="512" w:type="dxa"/>
                <w:shd w:val="clear" w:color="auto" w:fill="FFD966"/>
                <w:tcMar>
                  <w:top w:w="100" w:type="dxa"/>
                  <w:left w:w="100" w:type="dxa"/>
                  <w:bottom w:w="100" w:type="dxa"/>
                  <w:right w:w="100" w:type="dxa"/>
                </w:tcMar>
              </w:tcPr>
              <w:p w14:paraId="3E6EA582" w14:textId="77777777" w:rsidR="00134B9E" w:rsidRDefault="00EC6124">
                <w:pPr>
                  <w:widowControl w:val="0"/>
                  <w:pBdr>
                    <w:top w:val="nil"/>
                    <w:left w:val="nil"/>
                    <w:bottom w:val="nil"/>
                    <w:right w:val="nil"/>
                    <w:between w:val="nil"/>
                  </w:pBdr>
                  <w:spacing w:after="0" w:line="240" w:lineRule="auto"/>
                  <w:jc w:val="center"/>
                </w:pPr>
                <w:r>
                  <w:t>2.3</w:t>
                </w:r>
              </w:p>
            </w:tc>
            <w:tc>
              <w:tcPr>
                <w:tcW w:w="512" w:type="dxa"/>
                <w:shd w:val="clear" w:color="auto" w:fill="FFD966"/>
                <w:tcMar>
                  <w:top w:w="100" w:type="dxa"/>
                  <w:left w:w="100" w:type="dxa"/>
                  <w:bottom w:w="100" w:type="dxa"/>
                  <w:right w:w="100" w:type="dxa"/>
                </w:tcMar>
              </w:tcPr>
              <w:p w14:paraId="35D047B7" w14:textId="77777777" w:rsidR="00134B9E" w:rsidRDefault="00EC6124">
                <w:pPr>
                  <w:widowControl w:val="0"/>
                  <w:pBdr>
                    <w:top w:val="nil"/>
                    <w:left w:val="nil"/>
                    <w:bottom w:val="nil"/>
                    <w:right w:val="nil"/>
                    <w:between w:val="nil"/>
                  </w:pBdr>
                  <w:spacing w:after="0" w:line="240" w:lineRule="auto"/>
                  <w:jc w:val="center"/>
                </w:pPr>
                <w:r>
                  <w:t>3.1</w:t>
                </w:r>
              </w:p>
            </w:tc>
            <w:tc>
              <w:tcPr>
                <w:tcW w:w="512" w:type="dxa"/>
                <w:shd w:val="clear" w:color="auto" w:fill="FFD966"/>
                <w:tcMar>
                  <w:top w:w="100" w:type="dxa"/>
                  <w:left w:w="100" w:type="dxa"/>
                  <w:bottom w:w="100" w:type="dxa"/>
                  <w:right w:w="100" w:type="dxa"/>
                </w:tcMar>
              </w:tcPr>
              <w:p w14:paraId="125C0901" w14:textId="77777777" w:rsidR="00134B9E" w:rsidRDefault="00EC6124">
                <w:pPr>
                  <w:widowControl w:val="0"/>
                  <w:pBdr>
                    <w:top w:val="nil"/>
                    <w:left w:val="nil"/>
                    <w:bottom w:val="nil"/>
                    <w:right w:val="nil"/>
                    <w:between w:val="nil"/>
                  </w:pBdr>
                  <w:spacing w:after="0" w:line="240" w:lineRule="auto"/>
                  <w:jc w:val="center"/>
                </w:pPr>
                <w:r>
                  <w:t>3.2</w:t>
                </w:r>
              </w:p>
            </w:tc>
            <w:tc>
              <w:tcPr>
                <w:tcW w:w="512" w:type="dxa"/>
                <w:shd w:val="clear" w:color="auto" w:fill="FFD966"/>
                <w:tcMar>
                  <w:top w:w="100" w:type="dxa"/>
                  <w:left w:w="100" w:type="dxa"/>
                  <w:bottom w:w="100" w:type="dxa"/>
                  <w:right w:w="100" w:type="dxa"/>
                </w:tcMar>
              </w:tcPr>
              <w:p w14:paraId="6FD236D0" w14:textId="77777777" w:rsidR="00134B9E" w:rsidRDefault="00EC6124">
                <w:pPr>
                  <w:widowControl w:val="0"/>
                  <w:pBdr>
                    <w:top w:val="nil"/>
                    <w:left w:val="nil"/>
                    <w:bottom w:val="nil"/>
                    <w:right w:val="nil"/>
                    <w:between w:val="nil"/>
                  </w:pBdr>
                  <w:spacing w:after="0" w:line="240" w:lineRule="auto"/>
                  <w:jc w:val="center"/>
                </w:pPr>
                <w:r>
                  <w:t>3.3</w:t>
                </w:r>
              </w:p>
            </w:tc>
            <w:tc>
              <w:tcPr>
                <w:tcW w:w="512" w:type="dxa"/>
                <w:shd w:val="clear" w:color="auto" w:fill="FFD966"/>
                <w:tcMar>
                  <w:top w:w="100" w:type="dxa"/>
                  <w:left w:w="100" w:type="dxa"/>
                  <w:bottom w:w="100" w:type="dxa"/>
                  <w:right w:w="100" w:type="dxa"/>
                </w:tcMar>
              </w:tcPr>
              <w:p w14:paraId="6E8DC664" w14:textId="77777777" w:rsidR="00134B9E" w:rsidRDefault="00EC6124">
                <w:pPr>
                  <w:widowControl w:val="0"/>
                  <w:pBdr>
                    <w:top w:val="nil"/>
                    <w:left w:val="nil"/>
                    <w:bottom w:val="nil"/>
                    <w:right w:val="nil"/>
                    <w:between w:val="nil"/>
                  </w:pBdr>
                  <w:spacing w:after="0" w:line="240" w:lineRule="auto"/>
                  <w:jc w:val="center"/>
                </w:pPr>
                <w:r>
                  <w:t>3.4</w:t>
                </w:r>
              </w:p>
            </w:tc>
            <w:tc>
              <w:tcPr>
                <w:tcW w:w="512" w:type="dxa"/>
                <w:shd w:val="clear" w:color="auto" w:fill="FFD966"/>
                <w:tcMar>
                  <w:top w:w="100" w:type="dxa"/>
                  <w:left w:w="100" w:type="dxa"/>
                  <w:bottom w:w="100" w:type="dxa"/>
                  <w:right w:w="100" w:type="dxa"/>
                </w:tcMar>
              </w:tcPr>
              <w:p w14:paraId="5000DBD8" w14:textId="77777777" w:rsidR="00134B9E" w:rsidRDefault="00EC6124">
                <w:pPr>
                  <w:widowControl w:val="0"/>
                  <w:pBdr>
                    <w:top w:val="nil"/>
                    <w:left w:val="nil"/>
                    <w:bottom w:val="nil"/>
                    <w:right w:val="nil"/>
                    <w:between w:val="nil"/>
                  </w:pBdr>
                  <w:spacing w:after="0" w:line="240" w:lineRule="auto"/>
                  <w:jc w:val="center"/>
                </w:pPr>
                <w:r>
                  <w:t>3.5</w:t>
                </w:r>
              </w:p>
            </w:tc>
            <w:tc>
              <w:tcPr>
                <w:tcW w:w="512" w:type="dxa"/>
                <w:shd w:val="clear" w:color="auto" w:fill="FFD966"/>
                <w:tcMar>
                  <w:top w:w="100" w:type="dxa"/>
                  <w:left w:w="100" w:type="dxa"/>
                  <w:bottom w:w="100" w:type="dxa"/>
                  <w:right w:w="100" w:type="dxa"/>
                </w:tcMar>
              </w:tcPr>
              <w:p w14:paraId="4BFECE80" w14:textId="77777777" w:rsidR="00134B9E" w:rsidRDefault="00EC6124">
                <w:pPr>
                  <w:widowControl w:val="0"/>
                  <w:pBdr>
                    <w:top w:val="nil"/>
                    <w:left w:val="nil"/>
                    <w:bottom w:val="nil"/>
                    <w:right w:val="nil"/>
                    <w:between w:val="nil"/>
                  </w:pBdr>
                  <w:spacing w:after="0" w:line="240" w:lineRule="auto"/>
                  <w:jc w:val="center"/>
                </w:pPr>
                <w:r>
                  <w:t>3.6</w:t>
                </w:r>
              </w:p>
            </w:tc>
          </w:tr>
          <w:tr w:rsidR="00134B9E" w14:paraId="70D97803" w14:textId="77777777">
            <w:trPr>
              <w:trHeight w:val="478"/>
            </w:trPr>
            <w:tc>
              <w:tcPr>
                <w:tcW w:w="1020" w:type="dxa"/>
                <w:vMerge w:val="restart"/>
                <w:shd w:val="clear" w:color="auto" w:fill="auto"/>
                <w:tcMar>
                  <w:top w:w="100" w:type="dxa"/>
                  <w:left w:w="100" w:type="dxa"/>
                  <w:bottom w:w="100" w:type="dxa"/>
                  <w:right w:w="100" w:type="dxa"/>
                </w:tcMar>
                <w:vAlign w:val="center"/>
              </w:tcPr>
              <w:p w14:paraId="335D1268" w14:textId="77777777" w:rsidR="00134B9E" w:rsidRDefault="00EC6124">
                <w:pPr>
                  <w:widowControl w:val="0"/>
                  <w:pBdr>
                    <w:top w:val="nil"/>
                    <w:left w:val="nil"/>
                    <w:bottom w:val="nil"/>
                    <w:right w:val="nil"/>
                    <w:between w:val="nil"/>
                  </w:pBdr>
                  <w:spacing w:after="0" w:line="240" w:lineRule="auto"/>
                </w:pPr>
                <w:r>
                  <w:t>PIs</w:t>
                </w:r>
              </w:p>
            </w:tc>
            <w:tc>
              <w:tcPr>
                <w:tcW w:w="1785" w:type="dxa"/>
                <w:shd w:val="clear" w:color="auto" w:fill="auto"/>
                <w:tcMar>
                  <w:top w:w="100" w:type="dxa"/>
                  <w:left w:w="100" w:type="dxa"/>
                  <w:bottom w:w="100" w:type="dxa"/>
                  <w:right w:w="100" w:type="dxa"/>
                </w:tcMar>
              </w:tcPr>
              <w:p w14:paraId="1497EB9D" w14:textId="77777777" w:rsidR="00134B9E" w:rsidRDefault="00EC6124">
                <w:pPr>
                  <w:widowControl w:val="0"/>
                  <w:pBdr>
                    <w:top w:val="nil"/>
                    <w:left w:val="nil"/>
                    <w:bottom w:val="nil"/>
                    <w:right w:val="nil"/>
                    <w:between w:val="nil"/>
                  </w:pBdr>
                  <w:spacing w:after="0" w:line="240" w:lineRule="auto"/>
                </w:pPr>
                <w:r>
                  <w:t>EDF PI1-SP1</w:t>
                </w:r>
              </w:p>
            </w:tc>
            <w:tc>
              <w:tcPr>
                <w:tcW w:w="512" w:type="dxa"/>
                <w:shd w:val="clear" w:color="auto" w:fill="A4C2F4"/>
                <w:tcMar>
                  <w:top w:w="100" w:type="dxa"/>
                  <w:left w:w="100" w:type="dxa"/>
                  <w:bottom w:w="100" w:type="dxa"/>
                  <w:right w:w="100" w:type="dxa"/>
                </w:tcMar>
              </w:tcPr>
              <w:p w14:paraId="2336929F"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7FA3942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4177BDCA"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9B8C09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FC0D192"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1334A5C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65C8B807"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6048E49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6776855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48E5560F"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1234AED"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61FE38E4" w14:textId="77777777" w:rsidR="00134B9E" w:rsidRDefault="00134B9E">
                <w:pPr>
                  <w:widowControl w:val="0"/>
                  <w:pBdr>
                    <w:top w:val="nil"/>
                    <w:left w:val="nil"/>
                    <w:bottom w:val="nil"/>
                    <w:right w:val="nil"/>
                    <w:between w:val="nil"/>
                  </w:pBdr>
                  <w:spacing w:after="0" w:line="240" w:lineRule="auto"/>
                  <w:jc w:val="center"/>
                </w:pPr>
              </w:p>
            </w:tc>
          </w:tr>
          <w:tr w:rsidR="00134B9E" w14:paraId="339E4F1B" w14:textId="77777777">
            <w:trPr>
              <w:trHeight w:val="478"/>
            </w:trPr>
            <w:tc>
              <w:tcPr>
                <w:tcW w:w="1020" w:type="dxa"/>
                <w:vMerge/>
                <w:shd w:val="clear" w:color="auto" w:fill="auto"/>
                <w:tcMar>
                  <w:top w:w="100" w:type="dxa"/>
                  <w:left w:w="100" w:type="dxa"/>
                  <w:bottom w:w="100" w:type="dxa"/>
                  <w:right w:w="100" w:type="dxa"/>
                </w:tcMar>
                <w:vAlign w:val="center"/>
              </w:tcPr>
              <w:p w14:paraId="61DE0E96"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1EE2884E" w14:textId="77777777" w:rsidR="00134B9E" w:rsidRDefault="00EC6124">
                <w:pPr>
                  <w:widowControl w:val="0"/>
                  <w:pBdr>
                    <w:top w:val="nil"/>
                    <w:left w:val="nil"/>
                    <w:bottom w:val="nil"/>
                    <w:right w:val="nil"/>
                    <w:between w:val="nil"/>
                  </w:pBdr>
                  <w:spacing w:after="0" w:line="240" w:lineRule="auto"/>
                </w:pPr>
                <w:r>
                  <w:t>MA PI2-SP1</w:t>
                </w:r>
              </w:p>
            </w:tc>
            <w:tc>
              <w:tcPr>
                <w:tcW w:w="512" w:type="dxa"/>
                <w:shd w:val="clear" w:color="auto" w:fill="A4C2F4"/>
                <w:tcMar>
                  <w:top w:w="100" w:type="dxa"/>
                  <w:left w:w="100" w:type="dxa"/>
                  <w:bottom w:w="100" w:type="dxa"/>
                  <w:right w:w="100" w:type="dxa"/>
                </w:tcMar>
              </w:tcPr>
              <w:p w14:paraId="7393DCD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0A8B3EE2"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1AF80872"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3868B490"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23E3C62A"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74360887"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57F229FD"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041AE0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2BCD65E"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5178BFF9"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20698402"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0AF9FE52" w14:textId="77777777" w:rsidR="00134B9E" w:rsidRDefault="00134B9E">
                <w:pPr>
                  <w:widowControl w:val="0"/>
                  <w:pBdr>
                    <w:top w:val="nil"/>
                    <w:left w:val="nil"/>
                    <w:bottom w:val="nil"/>
                    <w:right w:val="nil"/>
                    <w:between w:val="nil"/>
                  </w:pBdr>
                  <w:spacing w:after="0" w:line="240" w:lineRule="auto"/>
                  <w:jc w:val="center"/>
                </w:pPr>
              </w:p>
            </w:tc>
          </w:tr>
          <w:tr w:rsidR="00134B9E" w14:paraId="5F3B6BCB" w14:textId="77777777">
            <w:trPr>
              <w:trHeight w:val="478"/>
            </w:trPr>
            <w:tc>
              <w:tcPr>
                <w:tcW w:w="1020" w:type="dxa"/>
                <w:vMerge/>
                <w:shd w:val="clear" w:color="auto" w:fill="auto"/>
                <w:tcMar>
                  <w:top w:w="100" w:type="dxa"/>
                  <w:left w:w="100" w:type="dxa"/>
                  <w:bottom w:w="100" w:type="dxa"/>
                  <w:right w:w="100" w:type="dxa"/>
                </w:tcMar>
                <w:vAlign w:val="center"/>
              </w:tcPr>
              <w:p w14:paraId="5B4D84F1"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47F1EBFD" w14:textId="77777777" w:rsidR="00134B9E" w:rsidRDefault="00EC6124">
                <w:pPr>
                  <w:widowControl w:val="0"/>
                  <w:pBdr>
                    <w:top w:val="nil"/>
                    <w:left w:val="nil"/>
                    <w:bottom w:val="nil"/>
                    <w:right w:val="nil"/>
                    <w:between w:val="nil"/>
                  </w:pBdr>
                  <w:spacing w:after="0" w:line="240" w:lineRule="auto"/>
                </w:pPr>
                <w:r>
                  <w:t>FDA PI1-SP2</w:t>
                </w:r>
              </w:p>
            </w:tc>
            <w:tc>
              <w:tcPr>
                <w:tcW w:w="512" w:type="dxa"/>
                <w:shd w:val="clear" w:color="auto" w:fill="auto"/>
                <w:tcMar>
                  <w:top w:w="100" w:type="dxa"/>
                  <w:left w:w="100" w:type="dxa"/>
                  <w:bottom w:w="100" w:type="dxa"/>
                  <w:right w:w="100" w:type="dxa"/>
                </w:tcMar>
              </w:tcPr>
              <w:p w14:paraId="26F72BF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735E8183"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0B9B762E"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6611724A"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465A67D6"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154E4640"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76E9BFFE"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0775CB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7E2C086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A4A6AC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3EF04C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5396E77C" w14:textId="77777777" w:rsidR="00134B9E" w:rsidRDefault="00134B9E">
                <w:pPr>
                  <w:widowControl w:val="0"/>
                  <w:pBdr>
                    <w:top w:val="nil"/>
                    <w:left w:val="nil"/>
                    <w:bottom w:val="nil"/>
                    <w:right w:val="nil"/>
                    <w:between w:val="nil"/>
                  </w:pBdr>
                  <w:spacing w:after="0" w:line="240" w:lineRule="auto"/>
                  <w:jc w:val="center"/>
                </w:pPr>
              </w:p>
            </w:tc>
          </w:tr>
          <w:tr w:rsidR="00134B9E" w14:paraId="5398C09E" w14:textId="77777777">
            <w:trPr>
              <w:trHeight w:val="478"/>
            </w:trPr>
            <w:tc>
              <w:tcPr>
                <w:tcW w:w="1020" w:type="dxa"/>
                <w:vMerge/>
                <w:shd w:val="clear" w:color="auto" w:fill="auto"/>
                <w:tcMar>
                  <w:top w:w="100" w:type="dxa"/>
                  <w:left w:w="100" w:type="dxa"/>
                  <w:bottom w:w="100" w:type="dxa"/>
                  <w:right w:w="100" w:type="dxa"/>
                </w:tcMar>
                <w:vAlign w:val="center"/>
              </w:tcPr>
              <w:p w14:paraId="05A32C3B"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5FE492F9" w14:textId="77777777" w:rsidR="00134B9E" w:rsidRDefault="00EC6124">
                <w:pPr>
                  <w:widowControl w:val="0"/>
                  <w:pBdr>
                    <w:top w:val="nil"/>
                    <w:left w:val="nil"/>
                    <w:bottom w:val="nil"/>
                    <w:right w:val="nil"/>
                    <w:between w:val="nil"/>
                  </w:pBdr>
                  <w:spacing w:after="0" w:line="240" w:lineRule="auto"/>
                </w:pPr>
                <w:r>
                  <w:t>LC PI2-SP2</w:t>
                </w:r>
              </w:p>
            </w:tc>
            <w:tc>
              <w:tcPr>
                <w:tcW w:w="512" w:type="dxa"/>
                <w:shd w:val="clear" w:color="auto" w:fill="auto"/>
                <w:tcMar>
                  <w:top w:w="100" w:type="dxa"/>
                  <w:left w:w="100" w:type="dxa"/>
                  <w:bottom w:w="100" w:type="dxa"/>
                  <w:right w:w="100" w:type="dxa"/>
                </w:tcMar>
              </w:tcPr>
              <w:p w14:paraId="5EE7357E"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66FC173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01356C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0F5A45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5AAE0AA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61DB5DDE"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7ACE62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F05BA6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9CD24FD"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6E10C577"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147451F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4D79C574" w14:textId="77777777" w:rsidR="00134B9E" w:rsidRDefault="00134B9E">
                <w:pPr>
                  <w:widowControl w:val="0"/>
                  <w:pBdr>
                    <w:top w:val="nil"/>
                    <w:left w:val="nil"/>
                    <w:bottom w:val="nil"/>
                    <w:right w:val="nil"/>
                    <w:between w:val="nil"/>
                  </w:pBdr>
                  <w:spacing w:after="0" w:line="240" w:lineRule="auto"/>
                  <w:jc w:val="center"/>
                </w:pPr>
              </w:p>
            </w:tc>
          </w:tr>
          <w:tr w:rsidR="00134B9E" w14:paraId="11996A2F" w14:textId="77777777">
            <w:trPr>
              <w:trHeight w:val="478"/>
            </w:trPr>
            <w:tc>
              <w:tcPr>
                <w:tcW w:w="1020" w:type="dxa"/>
                <w:vMerge w:val="restart"/>
                <w:shd w:val="clear" w:color="auto" w:fill="auto"/>
                <w:tcMar>
                  <w:top w:w="100" w:type="dxa"/>
                  <w:left w:w="100" w:type="dxa"/>
                  <w:bottom w:w="100" w:type="dxa"/>
                  <w:right w:w="100" w:type="dxa"/>
                </w:tcMar>
                <w:vAlign w:val="center"/>
              </w:tcPr>
              <w:p w14:paraId="26224032" w14:textId="77777777" w:rsidR="00134B9E" w:rsidRDefault="00EC6124">
                <w:pPr>
                  <w:widowControl w:val="0"/>
                  <w:pBdr>
                    <w:top w:val="nil"/>
                    <w:left w:val="nil"/>
                    <w:bottom w:val="nil"/>
                    <w:right w:val="nil"/>
                    <w:between w:val="nil"/>
                  </w:pBdr>
                  <w:spacing w:after="0" w:line="240" w:lineRule="auto"/>
                </w:pPr>
                <w:r>
                  <w:t>Research Team</w:t>
                </w:r>
              </w:p>
            </w:tc>
            <w:tc>
              <w:tcPr>
                <w:tcW w:w="1785" w:type="dxa"/>
                <w:shd w:val="clear" w:color="auto" w:fill="auto"/>
                <w:tcMar>
                  <w:top w:w="100" w:type="dxa"/>
                  <w:left w:w="100" w:type="dxa"/>
                  <w:bottom w:w="100" w:type="dxa"/>
                  <w:right w:w="100" w:type="dxa"/>
                </w:tcMar>
              </w:tcPr>
              <w:p w14:paraId="0B058CFE" w14:textId="77777777" w:rsidR="00134B9E" w:rsidRDefault="00EC6124">
                <w:pPr>
                  <w:widowControl w:val="0"/>
                  <w:pBdr>
                    <w:top w:val="nil"/>
                    <w:left w:val="nil"/>
                    <w:bottom w:val="nil"/>
                    <w:right w:val="nil"/>
                    <w:between w:val="nil"/>
                  </w:pBdr>
                  <w:spacing w:after="0" w:line="240" w:lineRule="auto"/>
                </w:pPr>
                <w:r>
                  <w:t>VC (SP1)</w:t>
                </w:r>
              </w:p>
            </w:tc>
            <w:tc>
              <w:tcPr>
                <w:tcW w:w="512" w:type="dxa"/>
                <w:shd w:val="clear" w:color="auto" w:fill="A4C2F4"/>
                <w:tcMar>
                  <w:top w:w="100" w:type="dxa"/>
                  <w:left w:w="100" w:type="dxa"/>
                  <w:bottom w:w="100" w:type="dxa"/>
                  <w:right w:w="100" w:type="dxa"/>
                </w:tcMar>
              </w:tcPr>
              <w:p w14:paraId="6EFEA30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39C1D4B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5C0AEDF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A57E30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08ACD27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6912FA0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80F578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1F9DC69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2D83B97"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C72D43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C43287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5773D403" w14:textId="77777777" w:rsidR="00134B9E" w:rsidRDefault="00134B9E">
                <w:pPr>
                  <w:widowControl w:val="0"/>
                  <w:pBdr>
                    <w:top w:val="nil"/>
                    <w:left w:val="nil"/>
                    <w:bottom w:val="nil"/>
                    <w:right w:val="nil"/>
                    <w:between w:val="nil"/>
                  </w:pBdr>
                  <w:spacing w:after="0" w:line="240" w:lineRule="auto"/>
                  <w:jc w:val="center"/>
                </w:pPr>
              </w:p>
            </w:tc>
          </w:tr>
          <w:tr w:rsidR="00134B9E" w14:paraId="049DC1EF" w14:textId="77777777">
            <w:trPr>
              <w:trHeight w:val="478"/>
            </w:trPr>
            <w:tc>
              <w:tcPr>
                <w:tcW w:w="1020" w:type="dxa"/>
                <w:vMerge/>
                <w:shd w:val="clear" w:color="auto" w:fill="auto"/>
                <w:tcMar>
                  <w:top w:w="100" w:type="dxa"/>
                  <w:left w:w="100" w:type="dxa"/>
                  <w:bottom w:w="100" w:type="dxa"/>
                  <w:right w:w="100" w:type="dxa"/>
                </w:tcMar>
                <w:vAlign w:val="center"/>
              </w:tcPr>
              <w:p w14:paraId="458B408D"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0A3832E6" w14:textId="77777777" w:rsidR="00134B9E" w:rsidRDefault="00EC6124">
                <w:pPr>
                  <w:widowControl w:val="0"/>
                  <w:pBdr>
                    <w:top w:val="nil"/>
                    <w:left w:val="nil"/>
                    <w:bottom w:val="nil"/>
                    <w:right w:val="nil"/>
                    <w:between w:val="nil"/>
                  </w:pBdr>
                  <w:spacing w:after="0" w:line="240" w:lineRule="auto"/>
                </w:pPr>
                <w:r>
                  <w:t>EDG (SP2)</w:t>
                </w:r>
              </w:p>
            </w:tc>
            <w:tc>
              <w:tcPr>
                <w:tcW w:w="512" w:type="dxa"/>
                <w:shd w:val="clear" w:color="auto" w:fill="auto"/>
                <w:tcMar>
                  <w:top w:w="100" w:type="dxa"/>
                  <w:left w:w="100" w:type="dxa"/>
                  <w:bottom w:w="100" w:type="dxa"/>
                  <w:right w:w="100" w:type="dxa"/>
                </w:tcMar>
              </w:tcPr>
              <w:p w14:paraId="2905549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4C8AA65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E1CBCCF"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F84438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001FE62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62CDBBB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9A728E3"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6CD8405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F28319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402BFA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87E343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1CA51831" w14:textId="77777777" w:rsidR="00134B9E" w:rsidRDefault="00134B9E">
                <w:pPr>
                  <w:widowControl w:val="0"/>
                  <w:pBdr>
                    <w:top w:val="nil"/>
                    <w:left w:val="nil"/>
                    <w:bottom w:val="nil"/>
                    <w:right w:val="nil"/>
                    <w:between w:val="nil"/>
                  </w:pBdr>
                  <w:spacing w:after="0" w:line="240" w:lineRule="auto"/>
                  <w:jc w:val="center"/>
                </w:pPr>
              </w:p>
            </w:tc>
          </w:tr>
          <w:tr w:rsidR="00134B9E" w14:paraId="5F94C71C" w14:textId="77777777">
            <w:trPr>
              <w:trHeight w:val="478"/>
            </w:trPr>
            <w:tc>
              <w:tcPr>
                <w:tcW w:w="1020" w:type="dxa"/>
                <w:vMerge/>
                <w:shd w:val="clear" w:color="auto" w:fill="auto"/>
                <w:tcMar>
                  <w:top w:w="100" w:type="dxa"/>
                  <w:left w:w="100" w:type="dxa"/>
                  <w:bottom w:w="100" w:type="dxa"/>
                  <w:right w:w="100" w:type="dxa"/>
                </w:tcMar>
                <w:vAlign w:val="center"/>
              </w:tcPr>
              <w:p w14:paraId="33258ECB"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42E3D897" w14:textId="77777777" w:rsidR="00134B9E" w:rsidRDefault="00EC6124">
                <w:pPr>
                  <w:widowControl w:val="0"/>
                  <w:pBdr>
                    <w:top w:val="nil"/>
                    <w:left w:val="nil"/>
                    <w:bottom w:val="nil"/>
                    <w:right w:val="nil"/>
                    <w:between w:val="nil"/>
                  </w:pBdr>
                  <w:spacing w:after="0" w:line="240" w:lineRule="auto"/>
                </w:pPr>
                <w:r>
                  <w:t>RM (SP2)</w:t>
                </w:r>
              </w:p>
            </w:tc>
            <w:tc>
              <w:tcPr>
                <w:tcW w:w="512" w:type="dxa"/>
                <w:shd w:val="clear" w:color="auto" w:fill="auto"/>
                <w:tcMar>
                  <w:top w:w="100" w:type="dxa"/>
                  <w:left w:w="100" w:type="dxa"/>
                  <w:bottom w:w="100" w:type="dxa"/>
                  <w:right w:w="100" w:type="dxa"/>
                </w:tcMar>
              </w:tcPr>
              <w:p w14:paraId="39F8E056"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1BC32806"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28E32D6C"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2E52476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589F29E"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82D53B7"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DF175C9"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34085D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D5BA9E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091D54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45AF5D1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7392BE20" w14:textId="77777777" w:rsidR="00134B9E" w:rsidRDefault="00134B9E">
                <w:pPr>
                  <w:widowControl w:val="0"/>
                  <w:pBdr>
                    <w:top w:val="nil"/>
                    <w:left w:val="nil"/>
                    <w:bottom w:val="nil"/>
                    <w:right w:val="nil"/>
                    <w:between w:val="nil"/>
                  </w:pBdr>
                  <w:spacing w:after="0" w:line="240" w:lineRule="auto"/>
                  <w:jc w:val="center"/>
                </w:pPr>
              </w:p>
            </w:tc>
          </w:tr>
          <w:tr w:rsidR="00134B9E" w14:paraId="21CB7DF8" w14:textId="77777777">
            <w:trPr>
              <w:trHeight w:val="478"/>
            </w:trPr>
            <w:tc>
              <w:tcPr>
                <w:tcW w:w="1020" w:type="dxa"/>
                <w:vMerge/>
                <w:shd w:val="clear" w:color="auto" w:fill="auto"/>
                <w:tcMar>
                  <w:top w:w="100" w:type="dxa"/>
                  <w:left w:w="100" w:type="dxa"/>
                  <w:bottom w:w="100" w:type="dxa"/>
                  <w:right w:w="100" w:type="dxa"/>
                </w:tcMar>
                <w:vAlign w:val="center"/>
              </w:tcPr>
              <w:p w14:paraId="69A7762E"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586DA9F6" w14:textId="77777777" w:rsidR="00134B9E" w:rsidRDefault="00EC6124">
                <w:pPr>
                  <w:widowControl w:val="0"/>
                  <w:pBdr>
                    <w:top w:val="nil"/>
                    <w:left w:val="nil"/>
                    <w:bottom w:val="nil"/>
                    <w:right w:val="nil"/>
                    <w:between w:val="nil"/>
                  </w:pBdr>
                  <w:spacing w:after="0" w:line="240" w:lineRule="auto"/>
                </w:pPr>
                <w:r>
                  <w:t>AM (SP2)</w:t>
                </w:r>
              </w:p>
            </w:tc>
            <w:tc>
              <w:tcPr>
                <w:tcW w:w="512" w:type="dxa"/>
                <w:shd w:val="clear" w:color="auto" w:fill="auto"/>
                <w:tcMar>
                  <w:top w:w="100" w:type="dxa"/>
                  <w:left w:w="100" w:type="dxa"/>
                  <w:bottom w:w="100" w:type="dxa"/>
                  <w:right w:w="100" w:type="dxa"/>
                </w:tcMar>
              </w:tcPr>
              <w:p w14:paraId="021E27C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59E79B02"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53286A7"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E6486DE"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196B01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5CEE3A1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A379F7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02ED2532"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5EB8B2E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6EB4033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AEB2CE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7B26FD2C" w14:textId="77777777" w:rsidR="00134B9E" w:rsidRDefault="00134B9E">
                <w:pPr>
                  <w:widowControl w:val="0"/>
                  <w:pBdr>
                    <w:top w:val="nil"/>
                    <w:left w:val="nil"/>
                    <w:bottom w:val="nil"/>
                    <w:right w:val="nil"/>
                    <w:between w:val="nil"/>
                  </w:pBdr>
                  <w:spacing w:after="0" w:line="240" w:lineRule="auto"/>
                  <w:jc w:val="center"/>
                </w:pPr>
              </w:p>
            </w:tc>
          </w:tr>
          <w:tr w:rsidR="00134B9E" w14:paraId="7D8D6449" w14:textId="77777777">
            <w:trPr>
              <w:trHeight w:val="478"/>
            </w:trPr>
            <w:tc>
              <w:tcPr>
                <w:tcW w:w="1020" w:type="dxa"/>
                <w:vMerge/>
                <w:shd w:val="clear" w:color="auto" w:fill="auto"/>
                <w:tcMar>
                  <w:top w:w="100" w:type="dxa"/>
                  <w:left w:w="100" w:type="dxa"/>
                  <w:bottom w:w="100" w:type="dxa"/>
                  <w:right w:w="100" w:type="dxa"/>
                </w:tcMar>
                <w:vAlign w:val="center"/>
              </w:tcPr>
              <w:p w14:paraId="16AC45AC"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69F9A243" w14:textId="77777777" w:rsidR="00134B9E" w:rsidRDefault="00EC6124">
                <w:pPr>
                  <w:widowControl w:val="0"/>
                  <w:pBdr>
                    <w:top w:val="nil"/>
                    <w:left w:val="nil"/>
                    <w:bottom w:val="nil"/>
                    <w:right w:val="nil"/>
                    <w:between w:val="nil"/>
                  </w:pBdr>
                  <w:spacing w:after="0" w:line="240" w:lineRule="auto"/>
                </w:pPr>
                <w:r>
                  <w:t>AR (SP2)</w:t>
                </w:r>
              </w:p>
            </w:tc>
            <w:tc>
              <w:tcPr>
                <w:tcW w:w="512" w:type="dxa"/>
                <w:shd w:val="clear" w:color="auto" w:fill="auto"/>
                <w:tcMar>
                  <w:top w:w="100" w:type="dxa"/>
                  <w:left w:w="100" w:type="dxa"/>
                  <w:bottom w:w="100" w:type="dxa"/>
                  <w:right w:w="100" w:type="dxa"/>
                </w:tcMar>
              </w:tcPr>
              <w:p w14:paraId="28D2C8D2"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96EEA0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6F14917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031D5F4C"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18DD8ACD"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0622AA0D"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AE27B7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5DA6FCF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6A4351E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3A9809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8B6851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5D1B5B60" w14:textId="77777777" w:rsidR="00134B9E" w:rsidRDefault="00134B9E">
                <w:pPr>
                  <w:widowControl w:val="0"/>
                  <w:pBdr>
                    <w:top w:val="nil"/>
                    <w:left w:val="nil"/>
                    <w:bottom w:val="nil"/>
                    <w:right w:val="nil"/>
                    <w:between w:val="nil"/>
                  </w:pBdr>
                  <w:spacing w:after="0" w:line="240" w:lineRule="auto"/>
                  <w:jc w:val="center"/>
                </w:pPr>
              </w:p>
            </w:tc>
          </w:tr>
          <w:tr w:rsidR="00134B9E" w14:paraId="756B3C39" w14:textId="77777777">
            <w:trPr>
              <w:trHeight w:val="478"/>
            </w:trPr>
            <w:tc>
              <w:tcPr>
                <w:tcW w:w="1020" w:type="dxa"/>
                <w:vMerge w:val="restart"/>
                <w:shd w:val="clear" w:color="auto" w:fill="auto"/>
                <w:tcMar>
                  <w:top w:w="100" w:type="dxa"/>
                  <w:left w:w="100" w:type="dxa"/>
                  <w:bottom w:w="100" w:type="dxa"/>
                  <w:right w:w="100" w:type="dxa"/>
                </w:tcMar>
                <w:vAlign w:val="center"/>
              </w:tcPr>
              <w:p w14:paraId="344D52BC" w14:textId="77777777" w:rsidR="00134B9E" w:rsidRDefault="00EC6124">
                <w:pPr>
                  <w:widowControl w:val="0"/>
                  <w:pBdr>
                    <w:top w:val="nil"/>
                    <w:left w:val="nil"/>
                    <w:bottom w:val="nil"/>
                    <w:right w:val="nil"/>
                    <w:between w:val="nil"/>
                  </w:pBdr>
                  <w:spacing w:after="0" w:line="240" w:lineRule="auto"/>
                </w:pPr>
                <w:r>
                  <w:t>Work Team</w:t>
                </w:r>
              </w:p>
            </w:tc>
            <w:tc>
              <w:tcPr>
                <w:tcW w:w="1785" w:type="dxa"/>
                <w:shd w:val="clear" w:color="auto" w:fill="auto"/>
                <w:tcMar>
                  <w:top w:w="100" w:type="dxa"/>
                  <w:left w:w="100" w:type="dxa"/>
                  <w:bottom w:w="100" w:type="dxa"/>
                  <w:right w:w="100" w:type="dxa"/>
                </w:tcMar>
              </w:tcPr>
              <w:p w14:paraId="156BC6D9" w14:textId="77777777" w:rsidR="00134B9E" w:rsidRDefault="00EC6124">
                <w:pPr>
                  <w:widowControl w:val="0"/>
                  <w:pBdr>
                    <w:top w:val="nil"/>
                    <w:left w:val="nil"/>
                    <w:bottom w:val="nil"/>
                    <w:right w:val="nil"/>
                    <w:between w:val="nil"/>
                  </w:pBdr>
                  <w:spacing w:after="0" w:line="240" w:lineRule="auto"/>
                </w:pPr>
                <w:r>
                  <w:t>PC (SP1)</w:t>
                </w:r>
              </w:p>
            </w:tc>
            <w:tc>
              <w:tcPr>
                <w:tcW w:w="512" w:type="dxa"/>
                <w:shd w:val="clear" w:color="auto" w:fill="A4C2F4"/>
                <w:tcMar>
                  <w:top w:w="100" w:type="dxa"/>
                  <w:left w:w="100" w:type="dxa"/>
                  <w:bottom w:w="100" w:type="dxa"/>
                  <w:right w:w="100" w:type="dxa"/>
                </w:tcMar>
              </w:tcPr>
              <w:p w14:paraId="62B8306C"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4F2684E9"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13C5CB2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60EFE8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846F103"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4498B883"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1EB4AD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2AA1E382"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FA1B2D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955C56F"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A83EE12"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250EB9B" w14:textId="77777777" w:rsidR="00134B9E" w:rsidRDefault="00134B9E">
                <w:pPr>
                  <w:widowControl w:val="0"/>
                  <w:pBdr>
                    <w:top w:val="nil"/>
                    <w:left w:val="nil"/>
                    <w:bottom w:val="nil"/>
                    <w:right w:val="nil"/>
                    <w:between w:val="nil"/>
                  </w:pBdr>
                  <w:spacing w:after="0" w:line="240" w:lineRule="auto"/>
                  <w:jc w:val="center"/>
                </w:pPr>
              </w:p>
            </w:tc>
          </w:tr>
          <w:tr w:rsidR="00134B9E" w14:paraId="7EE01A99" w14:textId="77777777">
            <w:trPr>
              <w:trHeight w:val="478"/>
            </w:trPr>
            <w:tc>
              <w:tcPr>
                <w:tcW w:w="1020" w:type="dxa"/>
                <w:vMerge/>
                <w:shd w:val="clear" w:color="auto" w:fill="auto"/>
                <w:tcMar>
                  <w:top w:w="100" w:type="dxa"/>
                  <w:left w:w="100" w:type="dxa"/>
                  <w:bottom w:w="100" w:type="dxa"/>
                  <w:right w:w="100" w:type="dxa"/>
                </w:tcMar>
                <w:vAlign w:val="center"/>
              </w:tcPr>
              <w:p w14:paraId="2DF24947"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42F1E8DB" w14:textId="77777777" w:rsidR="00134B9E" w:rsidRDefault="00EC6124">
                <w:pPr>
                  <w:widowControl w:val="0"/>
                  <w:pBdr>
                    <w:top w:val="nil"/>
                    <w:left w:val="nil"/>
                    <w:bottom w:val="nil"/>
                    <w:right w:val="nil"/>
                    <w:between w:val="nil"/>
                  </w:pBdr>
                  <w:spacing w:after="0" w:line="240" w:lineRule="auto"/>
                </w:pPr>
                <w:r>
                  <w:t>JG (SP1)</w:t>
                </w:r>
              </w:p>
            </w:tc>
            <w:tc>
              <w:tcPr>
                <w:tcW w:w="512" w:type="dxa"/>
                <w:shd w:val="clear" w:color="auto" w:fill="A4C2F4"/>
                <w:tcMar>
                  <w:top w:w="100" w:type="dxa"/>
                  <w:left w:w="100" w:type="dxa"/>
                  <w:bottom w:w="100" w:type="dxa"/>
                  <w:right w:w="100" w:type="dxa"/>
                </w:tcMar>
              </w:tcPr>
              <w:p w14:paraId="557EFF03"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0409EDAF"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0BF01304"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14163C0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3409752B"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69E0B4EE"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6C8A052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5F451DC"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8F50A5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B996B0A"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07AC3F85"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60D7F78" w14:textId="77777777" w:rsidR="00134B9E" w:rsidRDefault="00134B9E">
                <w:pPr>
                  <w:widowControl w:val="0"/>
                  <w:pBdr>
                    <w:top w:val="nil"/>
                    <w:left w:val="nil"/>
                    <w:bottom w:val="nil"/>
                    <w:right w:val="nil"/>
                    <w:between w:val="nil"/>
                  </w:pBdr>
                  <w:spacing w:after="0" w:line="240" w:lineRule="auto"/>
                  <w:jc w:val="center"/>
                </w:pPr>
              </w:p>
            </w:tc>
          </w:tr>
          <w:tr w:rsidR="00134B9E" w14:paraId="549224AC" w14:textId="77777777">
            <w:trPr>
              <w:trHeight w:val="478"/>
            </w:trPr>
            <w:tc>
              <w:tcPr>
                <w:tcW w:w="1020" w:type="dxa"/>
                <w:vMerge/>
                <w:shd w:val="clear" w:color="auto" w:fill="auto"/>
                <w:tcMar>
                  <w:top w:w="100" w:type="dxa"/>
                  <w:left w:w="100" w:type="dxa"/>
                  <w:bottom w:w="100" w:type="dxa"/>
                  <w:right w:w="100" w:type="dxa"/>
                </w:tcMar>
                <w:vAlign w:val="center"/>
              </w:tcPr>
              <w:p w14:paraId="76695118"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41590D1D" w14:textId="77777777" w:rsidR="00134B9E" w:rsidRDefault="00EC6124">
                <w:pPr>
                  <w:widowControl w:val="0"/>
                  <w:pBdr>
                    <w:top w:val="nil"/>
                    <w:left w:val="nil"/>
                    <w:bottom w:val="nil"/>
                    <w:right w:val="nil"/>
                    <w:between w:val="nil"/>
                  </w:pBdr>
                  <w:spacing w:after="0" w:line="240" w:lineRule="auto"/>
                </w:pPr>
                <w:r>
                  <w:t>EA (SP1)</w:t>
                </w:r>
              </w:p>
            </w:tc>
            <w:tc>
              <w:tcPr>
                <w:tcW w:w="512" w:type="dxa"/>
                <w:shd w:val="clear" w:color="auto" w:fill="A4C2F4"/>
                <w:tcMar>
                  <w:top w:w="100" w:type="dxa"/>
                  <w:left w:w="100" w:type="dxa"/>
                  <w:bottom w:w="100" w:type="dxa"/>
                  <w:right w:w="100" w:type="dxa"/>
                </w:tcMar>
              </w:tcPr>
              <w:p w14:paraId="1058F412"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3F98048C"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45F3369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1E812C0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5C81AEE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761EAE0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207168A"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4F87770"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3B0ACC38"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28495397"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20189A2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6ADDA865" w14:textId="77777777" w:rsidR="00134B9E" w:rsidRDefault="00134B9E">
                <w:pPr>
                  <w:widowControl w:val="0"/>
                  <w:pBdr>
                    <w:top w:val="nil"/>
                    <w:left w:val="nil"/>
                    <w:bottom w:val="nil"/>
                    <w:right w:val="nil"/>
                    <w:between w:val="nil"/>
                  </w:pBdr>
                  <w:spacing w:after="0" w:line="240" w:lineRule="auto"/>
                  <w:jc w:val="center"/>
                </w:pPr>
              </w:p>
            </w:tc>
          </w:tr>
          <w:tr w:rsidR="00134B9E" w14:paraId="34C64EB9" w14:textId="77777777">
            <w:trPr>
              <w:trHeight w:val="478"/>
            </w:trPr>
            <w:tc>
              <w:tcPr>
                <w:tcW w:w="1020" w:type="dxa"/>
                <w:vMerge/>
                <w:shd w:val="clear" w:color="auto" w:fill="auto"/>
                <w:tcMar>
                  <w:top w:w="100" w:type="dxa"/>
                  <w:left w:w="100" w:type="dxa"/>
                  <w:bottom w:w="100" w:type="dxa"/>
                  <w:right w:w="100" w:type="dxa"/>
                </w:tcMar>
                <w:vAlign w:val="center"/>
              </w:tcPr>
              <w:p w14:paraId="0595CF9A"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5F49F6BF" w14:textId="77777777" w:rsidR="00134B9E" w:rsidRDefault="00EC6124">
                <w:pPr>
                  <w:widowControl w:val="0"/>
                  <w:pBdr>
                    <w:top w:val="nil"/>
                    <w:left w:val="nil"/>
                    <w:bottom w:val="nil"/>
                    <w:right w:val="nil"/>
                    <w:between w:val="nil"/>
                  </w:pBdr>
                  <w:spacing w:after="0" w:line="240" w:lineRule="auto"/>
                </w:pPr>
                <w:r>
                  <w:t>Postdoc SP1</w:t>
                </w:r>
              </w:p>
            </w:tc>
            <w:tc>
              <w:tcPr>
                <w:tcW w:w="512" w:type="dxa"/>
                <w:shd w:val="clear" w:color="auto" w:fill="auto"/>
                <w:tcMar>
                  <w:top w:w="100" w:type="dxa"/>
                  <w:left w:w="100" w:type="dxa"/>
                  <w:bottom w:w="100" w:type="dxa"/>
                  <w:right w:w="100" w:type="dxa"/>
                </w:tcMar>
              </w:tcPr>
              <w:p w14:paraId="338BF93F"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1BE5A308"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53AC25C6" w14:textId="77777777" w:rsidR="00134B9E" w:rsidRDefault="00134B9E">
                <w:pPr>
                  <w:spacing w:after="0" w:line="240" w:lineRule="auto"/>
                </w:pPr>
              </w:p>
            </w:tc>
            <w:tc>
              <w:tcPr>
                <w:tcW w:w="512" w:type="dxa"/>
                <w:shd w:val="clear" w:color="auto" w:fill="auto"/>
                <w:tcMar>
                  <w:top w:w="100" w:type="dxa"/>
                  <w:left w:w="100" w:type="dxa"/>
                  <w:bottom w:w="100" w:type="dxa"/>
                  <w:right w:w="100" w:type="dxa"/>
                </w:tcMar>
              </w:tcPr>
              <w:p w14:paraId="0E31FBCB"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2E954C93" w14:textId="77777777" w:rsidR="00134B9E" w:rsidRDefault="00134B9E">
                <w:pPr>
                  <w:spacing w:after="0" w:line="240" w:lineRule="auto"/>
                </w:pPr>
              </w:p>
            </w:tc>
            <w:tc>
              <w:tcPr>
                <w:tcW w:w="512" w:type="dxa"/>
                <w:shd w:val="clear" w:color="auto" w:fill="A4C2F4"/>
                <w:tcMar>
                  <w:top w:w="100" w:type="dxa"/>
                  <w:left w:w="100" w:type="dxa"/>
                  <w:bottom w:w="100" w:type="dxa"/>
                  <w:right w:w="100" w:type="dxa"/>
                </w:tcMar>
              </w:tcPr>
              <w:p w14:paraId="30A7753A" w14:textId="77777777" w:rsidR="00134B9E" w:rsidRDefault="00134B9E">
                <w:pPr>
                  <w:spacing w:after="0" w:line="240" w:lineRule="auto"/>
                </w:pPr>
              </w:p>
            </w:tc>
            <w:tc>
              <w:tcPr>
                <w:tcW w:w="512" w:type="dxa"/>
                <w:shd w:val="clear" w:color="auto" w:fill="auto"/>
                <w:tcMar>
                  <w:top w:w="100" w:type="dxa"/>
                  <w:left w:w="100" w:type="dxa"/>
                  <w:bottom w:w="100" w:type="dxa"/>
                  <w:right w:w="100" w:type="dxa"/>
                </w:tcMar>
              </w:tcPr>
              <w:p w14:paraId="2348F309"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40A06641"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647F981D"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0DFB7BD6"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03CA786B"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097A52C7" w14:textId="77777777" w:rsidR="00134B9E" w:rsidRDefault="00134B9E">
                <w:pPr>
                  <w:widowControl w:val="0"/>
                  <w:spacing w:after="0" w:line="240" w:lineRule="auto"/>
                  <w:jc w:val="center"/>
                </w:pPr>
              </w:p>
            </w:tc>
          </w:tr>
          <w:tr w:rsidR="00134B9E" w14:paraId="3844D909" w14:textId="77777777">
            <w:trPr>
              <w:trHeight w:val="478"/>
            </w:trPr>
            <w:tc>
              <w:tcPr>
                <w:tcW w:w="1020" w:type="dxa"/>
                <w:vMerge/>
                <w:shd w:val="clear" w:color="auto" w:fill="auto"/>
                <w:tcMar>
                  <w:top w:w="100" w:type="dxa"/>
                  <w:left w:w="100" w:type="dxa"/>
                  <w:bottom w:w="100" w:type="dxa"/>
                  <w:right w:w="100" w:type="dxa"/>
                </w:tcMar>
                <w:vAlign w:val="center"/>
              </w:tcPr>
              <w:p w14:paraId="36C6CC0D"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038ED516" w14:textId="77777777" w:rsidR="00134B9E" w:rsidRDefault="00EC6124">
                <w:pPr>
                  <w:widowControl w:val="0"/>
                  <w:spacing w:after="0" w:line="240" w:lineRule="auto"/>
                </w:pPr>
                <w:r>
                  <w:t>MG (SP1)</w:t>
                </w:r>
              </w:p>
            </w:tc>
            <w:tc>
              <w:tcPr>
                <w:tcW w:w="512" w:type="dxa"/>
                <w:shd w:val="clear" w:color="auto" w:fill="auto"/>
                <w:tcMar>
                  <w:top w:w="100" w:type="dxa"/>
                  <w:left w:w="100" w:type="dxa"/>
                  <w:bottom w:w="100" w:type="dxa"/>
                  <w:right w:w="100" w:type="dxa"/>
                </w:tcMar>
              </w:tcPr>
              <w:p w14:paraId="19914F9D"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76A7EA5C"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22D6D1B2"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26376053"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35770EA5"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3379962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5A821136"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4ADB238D"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53EFB761"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2E5AF84E"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2F489AC"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2A527450" w14:textId="77777777" w:rsidR="00134B9E" w:rsidRDefault="00134B9E">
                <w:pPr>
                  <w:widowControl w:val="0"/>
                  <w:pBdr>
                    <w:top w:val="nil"/>
                    <w:left w:val="nil"/>
                    <w:bottom w:val="nil"/>
                    <w:right w:val="nil"/>
                    <w:between w:val="nil"/>
                  </w:pBdr>
                  <w:spacing w:after="0" w:line="240" w:lineRule="auto"/>
                  <w:jc w:val="center"/>
                </w:pPr>
              </w:p>
            </w:tc>
          </w:tr>
          <w:tr w:rsidR="00134B9E" w14:paraId="47E70C9D" w14:textId="77777777">
            <w:trPr>
              <w:trHeight w:val="582"/>
            </w:trPr>
            <w:tc>
              <w:tcPr>
                <w:tcW w:w="1020" w:type="dxa"/>
                <w:vMerge/>
                <w:shd w:val="clear" w:color="auto" w:fill="auto"/>
                <w:tcMar>
                  <w:top w:w="100" w:type="dxa"/>
                  <w:left w:w="100" w:type="dxa"/>
                  <w:bottom w:w="100" w:type="dxa"/>
                  <w:right w:w="100" w:type="dxa"/>
                </w:tcMar>
                <w:vAlign w:val="center"/>
              </w:tcPr>
              <w:p w14:paraId="4446FC0C"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724020AA" w14:textId="77777777" w:rsidR="00134B9E" w:rsidRDefault="00EC6124">
                <w:pPr>
                  <w:widowControl w:val="0"/>
                  <w:pBdr>
                    <w:top w:val="nil"/>
                    <w:left w:val="nil"/>
                    <w:bottom w:val="nil"/>
                    <w:right w:val="nil"/>
                    <w:between w:val="nil"/>
                  </w:pBdr>
                  <w:spacing w:after="0" w:line="240" w:lineRule="auto"/>
                </w:pPr>
                <w:r>
                  <w:t>Research technician SP1</w:t>
                </w:r>
              </w:p>
            </w:tc>
            <w:tc>
              <w:tcPr>
                <w:tcW w:w="512" w:type="dxa"/>
                <w:shd w:val="clear" w:color="auto" w:fill="auto"/>
                <w:tcMar>
                  <w:top w:w="100" w:type="dxa"/>
                  <w:left w:w="100" w:type="dxa"/>
                  <w:bottom w:w="100" w:type="dxa"/>
                  <w:right w:w="100" w:type="dxa"/>
                </w:tcMar>
              </w:tcPr>
              <w:p w14:paraId="2131FE77"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15FBD381"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78EDBF25"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53CAF2FD"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4C2F4"/>
                <w:tcMar>
                  <w:top w:w="100" w:type="dxa"/>
                  <w:left w:w="100" w:type="dxa"/>
                  <w:bottom w:w="100" w:type="dxa"/>
                  <w:right w:w="100" w:type="dxa"/>
                </w:tcMar>
              </w:tcPr>
              <w:p w14:paraId="2BD8BA30"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346B9AF4"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1F24627A"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51E2A202"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7E6E0FB3"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5F5D3239"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55C99A3" w14:textId="77777777" w:rsidR="00134B9E" w:rsidRDefault="00134B9E">
                <w:pPr>
                  <w:widowControl w:val="0"/>
                  <w:pBdr>
                    <w:top w:val="nil"/>
                    <w:left w:val="nil"/>
                    <w:bottom w:val="nil"/>
                    <w:right w:val="nil"/>
                    <w:between w:val="nil"/>
                  </w:pBdr>
                  <w:spacing w:after="0" w:line="240" w:lineRule="auto"/>
                  <w:jc w:val="center"/>
                </w:pPr>
              </w:p>
            </w:tc>
            <w:tc>
              <w:tcPr>
                <w:tcW w:w="512" w:type="dxa"/>
                <w:shd w:val="clear" w:color="auto" w:fill="auto"/>
                <w:tcMar>
                  <w:top w:w="100" w:type="dxa"/>
                  <w:left w:w="100" w:type="dxa"/>
                  <w:bottom w:w="100" w:type="dxa"/>
                  <w:right w:w="100" w:type="dxa"/>
                </w:tcMar>
              </w:tcPr>
              <w:p w14:paraId="1C7ECF65" w14:textId="77777777" w:rsidR="00134B9E" w:rsidRDefault="00134B9E">
                <w:pPr>
                  <w:widowControl w:val="0"/>
                  <w:pBdr>
                    <w:top w:val="nil"/>
                    <w:left w:val="nil"/>
                    <w:bottom w:val="nil"/>
                    <w:right w:val="nil"/>
                    <w:between w:val="nil"/>
                  </w:pBdr>
                  <w:spacing w:after="0" w:line="240" w:lineRule="auto"/>
                  <w:jc w:val="center"/>
                </w:pPr>
              </w:p>
            </w:tc>
          </w:tr>
          <w:tr w:rsidR="00134B9E" w14:paraId="5A792E40" w14:textId="77777777">
            <w:trPr>
              <w:trHeight w:val="582"/>
            </w:trPr>
            <w:tc>
              <w:tcPr>
                <w:tcW w:w="1020" w:type="dxa"/>
                <w:vMerge/>
                <w:shd w:val="clear" w:color="auto" w:fill="auto"/>
                <w:tcMar>
                  <w:top w:w="100" w:type="dxa"/>
                  <w:left w:w="100" w:type="dxa"/>
                  <w:bottom w:w="100" w:type="dxa"/>
                  <w:right w:w="100" w:type="dxa"/>
                </w:tcMar>
                <w:vAlign w:val="center"/>
              </w:tcPr>
              <w:p w14:paraId="05DBC259" w14:textId="77777777" w:rsidR="00134B9E" w:rsidRDefault="00134B9E">
                <w:pPr>
                  <w:widowControl w:val="0"/>
                  <w:pBdr>
                    <w:top w:val="nil"/>
                    <w:left w:val="nil"/>
                    <w:bottom w:val="nil"/>
                    <w:right w:val="nil"/>
                    <w:between w:val="nil"/>
                  </w:pBdr>
                  <w:spacing w:after="0" w:line="240" w:lineRule="auto"/>
                </w:pPr>
              </w:p>
            </w:tc>
            <w:tc>
              <w:tcPr>
                <w:tcW w:w="1785" w:type="dxa"/>
                <w:shd w:val="clear" w:color="auto" w:fill="auto"/>
                <w:tcMar>
                  <w:top w:w="100" w:type="dxa"/>
                  <w:left w:w="100" w:type="dxa"/>
                  <w:bottom w:w="100" w:type="dxa"/>
                  <w:right w:w="100" w:type="dxa"/>
                </w:tcMar>
              </w:tcPr>
              <w:p w14:paraId="5ABB859B" w14:textId="77777777" w:rsidR="00134B9E" w:rsidRDefault="00EC6124">
                <w:pPr>
                  <w:widowControl w:val="0"/>
                  <w:spacing w:after="0" w:line="240" w:lineRule="auto"/>
                </w:pPr>
                <w:r>
                  <w:t>JE (Postdoc SP2)</w:t>
                </w:r>
              </w:p>
            </w:tc>
            <w:tc>
              <w:tcPr>
                <w:tcW w:w="512" w:type="dxa"/>
                <w:shd w:val="clear" w:color="auto" w:fill="auto"/>
                <w:tcMar>
                  <w:top w:w="100" w:type="dxa"/>
                  <w:left w:w="100" w:type="dxa"/>
                  <w:bottom w:w="100" w:type="dxa"/>
                  <w:right w:w="100" w:type="dxa"/>
                </w:tcMar>
              </w:tcPr>
              <w:p w14:paraId="67016AC4"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3C69CAC7"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41950B82"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0DE7648E"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01094566" w14:textId="77777777" w:rsidR="00134B9E" w:rsidRDefault="00134B9E">
                <w:pPr>
                  <w:widowControl w:val="0"/>
                  <w:spacing w:after="0" w:line="240" w:lineRule="auto"/>
                  <w:jc w:val="center"/>
                </w:pPr>
              </w:p>
            </w:tc>
            <w:tc>
              <w:tcPr>
                <w:tcW w:w="512" w:type="dxa"/>
                <w:shd w:val="clear" w:color="auto" w:fill="A4C2F4"/>
                <w:tcMar>
                  <w:top w:w="100" w:type="dxa"/>
                  <w:left w:w="100" w:type="dxa"/>
                  <w:bottom w:w="100" w:type="dxa"/>
                  <w:right w:w="100" w:type="dxa"/>
                </w:tcMar>
              </w:tcPr>
              <w:p w14:paraId="5BB81B2A"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40F7148B"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61DBE838"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4C68905F"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62777928"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1C6FDBE9" w14:textId="77777777" w:rsidR="00134B9E" w:rsidRDefault="00134B9E">
                <w:pPr>
                  <w:widowControl w:val="0"/>
                  <w:spacing w:after="0" w:line="240" w:lineRule="auto"/>
                  <w:jc w:val="center"/>
                </w:pPr>
              </w:p>
            </w:tc>
            <w:tc>
              <w:tcPr>
                <w:tcW w:w="512" w:type="dxa"/>
                <w:shd w:val="clear" w:color="auto" w:fill="auto"/>
                <w:tcMar>
                  <w:top w:w="100" w:type="dxa"/>
                  <w:left w:w="100" w:type="dxa"/>
                  <w:bottom w:w="100" w:type="dxa"/>
                  <w:right w:w="100" w:type="dxa"/>
                </w:tcMar>
              </w:tcPr>
              <w:p w14:paraId="0A542E19" w14:textId="77777777" w:rsidR="00134B9E" w:rsidRDefault="002645D8">
                <w:pPr>
                  <w:widowControl w:val="0"/>
                  <w:spacing w:after="0" w:line="240" w:lineRule="auto"/>
                  <w:jc w:val="center"/>
                </w:pPr>
              </w:p>
            </w:tc>
          </w:tr>
        </w:tbl>
      </w:sdtContent>
    </w:sdt>
    <w:p w14:paraId="75F03DCA" w14:textId="77777777" w:rsidR="00134B9E" w:rsidRDefault="00134B9E">
      <w:pPr>
        <w:spacing w:after="100" w:line="240" w:lineRule="auto"/>
        <w:jc w:val="both"/>
        <w:rPr>
          <w:rFonts w:ascii="Arial" w:eastAsia="Arial" w:hAnsi="Arial" w:cs="Arial"/>
          <w:sz w:val="20"/>
          <w:szCs w:val="20"/>
        </w:rPr>
      </w:pPr>
    </w:p>
    <w:p w14:paraId="5EBF8DE0" w14:textId="4CEDA532" w:rsidR="00134B9E" w:rsidRPr="00EC6124" w:rsidRDefault="00EC6124">
      <w:pPr>
        <w:spacing w:after="100" w:line="240" w:lineRule="auto"/>
        <w:jc w:val="both"/>
        <w:rPr>
          <w:rFonts w:ascii="Arial" w:eastAsia="Arial" w:hAnsi="Arial" w:cs="Arial"/>
          <w:sz w:val="20"/>
          <w:szCs w:val="20"/>
        </w:rPr>
      </w:pPr>
      <w:r>
        <w:rPr>
          <w:rFonts w:ascii="Arial" w:eastAsia="Arial" w:hAnsi="Arial" w:cs="Arial"/>
          <w:sz w:val="20"/>
          <w:szCs w:val="20"/>
        </w:rPr>
        <w:t xml:space="preserve">EDF PI1-SP1 (Enrique Díez), MA PI2-SP1 (Mario Amado), FDA PI1-SP2 (Francisco Domínguez-Adame), LC PI2-SP2 (Leonor Chico), VC (Vito Clericò), EDG (Elena Díaz), RM (Rafael Molina), AM (Andrey Malyshev), AR (Armando Relaño), PC (Pablo Canteli), JG (Javier Gil), EA (El Hadj Abidi), MG (Marta García), JE (Jorge Estrada), </w:t>
      </w:r>
    </w:p>
    <w:p w14:paraId="75B2C45B" w14:textId="77777777" w:rsidR="00134B9E" w:rsidRPr="00037AD5" w:rsidRDefault="00EC6124">
      <w:pPr>
        <w:spacing w:after="100" w:line="240" w:lineRule="auto"/>
        <w:jc w:val="both"/>
        <w:rPr>
          <w:rFonts w:ascii="Arial" w:eastAsia="Arial" w:hAnsi="Arial" w:cs="Arial"/>
          <w:u w:val="single"/>
          <w:lang w:val="en-US"/>
        </w:rPr>
      </w:pPr>
      <w:r w:rsidRPr="00037AD5">
        <w:rPr>
          <w:rFonts w:ascii="Arial" w:eastAsia="Arial" w:hAnsi="Arial" w:cs="Arial"/>
          <w:u w:val="single"/>
          <w:lang w:val="en-US"/>
        </w:rPr>
        <w:lastRenderedPageBreak/>
        <w:t>Budget adequation</w:t>
      </w:r>
    </w:p>
    <w:p w14:paraId="6623CC2B" w14:textId="77777777" w:rsidR="00134B9E" w:rsidRPr="00037AD5" w:rsidRDefault="00134B9E">
      <w:pPr>
        <w:spacing w:after="100" w:line="240" w:lineRule="auto"/>
        <w:jc w:val="both"/>
        <w:rPr>
          <w:rFonts w:ascii="Arial" w:eastAsia="Arial" w:hAnsi="Arial" w:cs="Arial"/>
          <w:color w:val="980000"/>
          <w:u w:val="single"/>
          <w:lang w:val="en-US"/>
        </w:rPr>
      </w:pPr>
    </w:p>
    <w:p w14:paraId="272FAF89" w14:textId="53E74422"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We have allocated a budget in which the funds per institution are well-balanced and sufficient to ensure the successful outcome of the proposal. The personnel expenses will be dedicated to hiring researcher associates for the majority of the project, as this is crucial to contributing to and maintaining high-quality theoretical and experimental research at USAL and UCM in both subprojects. In this way, we aim to provide young researchers with the opportunity to contribute diverse perspectives to address the problems that arise in the development of any investigation. </w:t>
      </w:r>
    </w:p>
    <w:p w14:paraId="7430B8C3" w14:textId="77777777" w:rsidR="00EC6124" w:rsidRPr="00037AD5" w:rsidRDefault="00EC6124">
      <w:pPr>
        <w:spacing w:after="100" w:line="240" w:lineRule="auto"/>
        <w:jc w:val="both"/>
        <w:rPr>
          <w:rFonts w:ascii="Arial" w:eastAsia="Arial" w:hAnsi="Arial" w:cs="Arial"/>
          <w:lang w:val="en-US"/>
        </w:rPr>
      </w:pPr>
    </w:p>
    <w:p w14:paraId="6B6DD3CA" w14:textId="77777777" w:rsidR="00134B9E" w:rsidRPr="00037AD5" w:rsidRDefault="00EC6124">
      <w:pPr>
        <w:spacing w:after="100" w:line="240" w:lineRule="auto"/>
        <w:ind w:firstLine="720"/>
        <w:jc w:val="both"/>
        <w:rPr>
          <w:rFonts w:ascii="Arial" w:eastAsia="Arial" w:hAnsi="Arial" w:cs="Arial"/>
          <w:i/>
          <w:lang w:val="en-US"/>
        </w:rPr>
      </w:pPr>
      <w:r w:rsidRPr="00037AD5">
        <w:rPr>
          <w:rFonts w:ascii="Arial" w:eastAsia="Arial" w:hAnsi="Arial" w:cs="Arial"/>
          <w:i/>
          <w:lang w:val="en-US"/>
        </w:rPr>
        <w:t>Budget of SP1  (USAL)</w:t>
      </w:r>
    </w:p>
    <w:p w14:paraId="6F62CEFC"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In SP1, we plan to recruit two researchers to support the implementation of the proposed experimental activities. The first will be a research associate, employed for 12 months with a budget allocation of 39.400€. This position is intended for an early-career researcher, ideally holding a bachelor’s degree in physics or a related discipline, and preferably complemented by a relevant master’s degree. The associate will primarily serve as a cleanroom technician and will be responsible for fabricating devices based on CVD-grown samples, as well as performing electrical characterization of the voltage regulator and electrical switches in WP2. These devices will be the starting point for demonstrating the implementation and scalability of the technological approach outlined in this proposal. This role also serves as a potential entry point into a predoctoral research track.</w:t>
      </w:r>
    </w:p>
    <w:p w14:paraId="3CAB9B40"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In addition, we will recruit a postdoctoral research associate for a 12-month period, with an allocated budget of 48.100€. The selected candidate must have strong, hands-on experience in cleanroom environments, particularly in working with 2D materials and heterostructures. Furthermore, the candidate should be capable of designing and fabricating hydrodynamic-like structures, as described in the research plan. The postdoctoral researcher will play a critical role in bridging material synthesis, device fabrication, and the evaluation of scalability for future applications. This postdoctoral research associate will mentor the research technician in the electrical characterization of the voltage regulator and electrical switches in WP2.</w:t>
      </w:r>
    </w:p>
    <w:p w14:paraId="1E6FA9EA"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An additional 13.000€ is requested to support the daily operational needs of the cleanroom facility, which is central to the success of the proposed experimental work. This amount will cover routine consumables required for nanofabrication processes and equipment maintenance. It includes supplies such as gloves, wipes, acetone, methanol, isopropanol, and lithography resists. The budget also accounts for the purchase of key materials, including metals such as gold and chromium, as well as silicon substrates. To ensure reproducibility and high-performance device fabrication, a portion of this allocation will be used to procure high-purity raw materials. When necessary, commercially available CVD-grown samples and heterostructures (such as graphene/hBN stacks) will be acquired from specialized external providers. These externally sourced materials are essential to demonstrating the scalability and practical applicability of the proposed approach.</w:t>
      </w:r>
    </w:p>
    <w:p w14:paraId="3CD62A4F"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To support the work of the two newly hired researchers, we plan to purchase two laptop computers, with a dedicated budget of 3.000€. In terms of dissemination, we anticipate publishing a total of four articles in high-impact, peer-reviewed journals throughout the project. For SP1, we estimate the publication of two of these papers, with an allocated cost of 5.000€ to cover gold or green open-access fees, in line with open science principles. While some publication costs may be offset through institutional agreements with publishers, we anticipate that these will be prioritized for other ongoing projects with fewer resources.</w:t>
      </w:r>
    </w:p>
    <w:p w14:paraId="7F21EA4B"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We will allocate 6.000€ to cover travel expenses directly associated with SP1 research activities, including visits to partner institutions. Additionally, a budget of 1.200€ is reserved for external audits related to project monitoring and compliance if needed. </w:t>
      </w:r>
    </w:p>
    <w:p w14:paraId="53263808"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lastRenderedPageBreak/>
        <w:t>The requested direct costs for SP1 at USAL amount to 121.700€.</w:t>
      </w:r>
    </w:p>
    <w:p w14:paraId="7C405D40" w14:textId="77777777" w:rsidR="00134B9E" w:rsidRPr="00037AD5" w:rsidRDefault="00EC6124">
      <w:pPr>
        <w:spacing w:before="240" w:after="240" w:line="240" w:lineRule="auto"/>
        <w:ind w:firstLine="720"/>
        <w:jc w:val="both"/>
        <w:rPr>
          <w:rFonts w:ascii="Arial" w:eastAsia="Arial" w:hAnsi="Arial" w:cs="Arial"/>
          <w:i/>
          <w:lang w:val="en-US"/>
        </w:rPr>
      </w:pPr>
      <w:r w:rsidRPr="00037AD5">
        <w:rPr>
          <w:rFonts w:ascii="Arial" w:eastAsia="Arial" w:hAnsi="Arial" w:cs="Arial"/>
          <w:i/>
          <w:lang w:val="en-US"/>
        </w:rPr>
        <w:t>Budget of SP2 (UCM)</w:t>
      </w:r>
    </w:p>
    <w:p w14:paraId="4C4651FE"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We aim to hire Jorge Estrada-Álvarez as a postdoctoral researcher for one and a half year (if selected through the competitive process established by the current regulations), once he has defended his PhD thesis in 2026 (in the fourth year of the FPU fellowship, under the supervision of F. Domínguez-Adame and E. Díaz). His skills and deep understanding of both theoretical and experimental aspects (thanks to frequent contact with the members of the SP1 and a three-month stay at ETH Zurich) make him an essential contributor to the development of the project (see references [EST24a-c] and [EST25a-c]). According to the current UCM salary scales for one-and-a-half-year contracts, the budget is 75.741€.</w:t>
      </w:r>
    </w:p>
    <w:p w14:paraId="40C44CEC" w14:textId="77777777" w:rsidR="00134B9E" w:rsidRDefault="00EC6124">
      <w:pPr>
        <w:spacing w:after="100" w:line="240" w:lineRule="auto"/>
        <w:jc w:val="both"/>
        <w:rPr>
          <w:rFonts w:ascii="Arial" w:eastAsia="Arial" w:hAnsi="Arial" w:cs="Arial"/>
        </w:rPr>
      </w:pPr>
      <w:r w:rsidRPr="00037AD5">
        <w:rPr>
          <w:rFonts w:ascii="Arial" w:eastAsia="Arial" w:hAnsi="Arial" w:cs="Arial"/>
          <w:lang w:val="en-US"/>
        </w:rPr>
        <w:t xml:space="preserve">To provide a more adequate and quantitative modeling of the experiments, we anticipate that we will need to carry out more detailed simulations than those we have used to date. </w:t>
      </w:r>
      <w:r>
        <w:rPr>
          <w:rFonts w:ascii="Arial" w:eastAsia="Arial" w:hAnsi="Arial" w:cs="Arial"/>
        </w:rPr>
        <w:t>To be specific:</w:t>
      </w:r>
    </w:p>
    <w:p w14:paraId="45C7D6CC" w14:textId="77777777" w:rsidR="00134B9E" w:rsidRPr="00037AD5" w:rsidRDefault="00EC6124">
      <w:pPr>
        <w:numPr>
          <w:ilvl w:val="0"/>
          <w:numId w:val="2"/>
        </w:numPr>
        <w:spacing w:after="0" w:line="240" w:lineRule="auto"/>
        <w:jc w:val="both"/>
        <w:rPr>
          <w:rFonts w:ascii="Arial" w:eastAsia="Arial" w:hAnsi="Arial" w:cs="Arial"/>
          <w:lang w:val="en-US"/>
        </w:rPr>
      </w:pPr>
      <w:r w:rsidRPr="00037AD5">
        <w:rPr>
          <w:rFonts w:ascii="Arial" w:eastAsia="Arial" w:hAnsi="Arial" w:cs="Arial"/>
          <w:lang w:val="en-US"/>
        </w:rPr>
        <w:t>Some of our previous simulations, particularly those concerning devices exhibiting negative differential resistance [EST24a], were based on solutions of the Navier-Stokes equation. However, these models fail to predict the I–V characteristics at low voltages accurately. Although negative differential resistance emerges at higher voltages, it is desirable to correctly simulate the entire voltage range, which requires solving the Boltzmann transport equation.</w:t>
      </w:r>
    </w:p>
    <w:p w14:paraId="1E881A84" w14:textId="77777777" w:rsidR="00134B9E" w:rsidRPr="00037AD5" w:rsidRDefault="00EC6124">
      <w:pPr>
        <w:numPr>
          <w:ilvl w:val="0"/>
          <w:numId w:val="2"/>
        </w:numPr>
        <w:spacing w:after="0" w:line="240" w:lineRule="auto"/>
        <w:jc w:val="both"/>
        <w:rPr>
          <w:rFonts w:ascii="Arial" w:eastAsia="Arial" w:hAnsi="Arial" w:cs="Arial"/>
          <w:lang w:val="en-US"/>
        </w:rPr>
      </w:pPr>
      <w:r w:rsidRPr="00037AD5">
        <w:rPr>
          <w:rFonts w:ascii="Arial" w:eastAsia="Arial" w:hAnsi="Arial" w:cs="Arial"/>
          <w:lang w:val="en-US"/>
        </w:rPr>
        <w:t>Antidot-superlattices were simulated by solving the Boltzmann transport equation in a single period. Nevertheless, the crenellated channel shown in Figure 7 is not periodic due to the attached leads. Hence, the simulation domain will be much larger than before.</w:t>
      </w:r>
    </w:p>
    <w:p w14:paraId="666DFB97" w14:textId="77777777" w:rsidR="00134B9E" w:rsidRPr="00037AD5" w:rsidRDefault="00EC6124">
      <w:pPr>
        <w:numPr>
          <w:ilvl w:val="0"/>
          <w:numId w:val="2"/>
        </w:numPr>
        <w:spacing w:after="0" w:line="240" w:lineRule="auto"/>
        <w:jc w:val="both"/>
        <w:rPr>
          <w:rFonts w:ascii="Arial" w:eastAsia="Arial" w:hAnsi="Arial" w:cs="Arial"/>
          <w:lang w:val="en-US"/>
        </w:rPr>
      </w:pPr>
      <w:r w:rsidRPr="00037AD5">
        <w:rPr>
          <w:rFonts w:ascii="Arial" w:eastAsia="Arial" w:hAnsi="Arial" w:cs="Arial"/>
          <w:lang w:val="en-US"/>
        </w:rPr>
        <w:t>The antidot diameters in the superlattices to be fabricated in this project are smaller, which implies a more ballistic transport regime. In previous simulations, sampling 16 directions in the angular distribution function was sufficient to achieve convergence. However, for the new structures, we estimate that up to 64 angular samplings may be required. Considering that computation time scales with the number of samplings with an exponent between 1 and 2, a substantial increase in computational demand is anticipated.</w:t>
      </w:r>
    </w:p>
    <w:p w14:paraId="2459AE31" w14:textId="77777777" w:rsidR="00134B9E" w:rsidRPr="00037AD5" w:rsidRDefault="00EC6124">
      <w:pPr>
        <w:numPr>
          <w:ilvl w:val="0"/>
          <w:numId w:val="2"/>
        </w:numPr>
        <w:spacing w:after="100" w:line="240" w:lineRule="auto"/>
        <w:jc w:val="both"/>
        <w:rPr>
          <w:rFonts w:ascii="Arial" w:eastAsia="Arial" w:hAnsi="Arial" w:cs="Arial"/>
          <w:lang w:val="en-US"/>
        </w:rPr>
      </w:pPr>
      <w:r w:rsidRPr="00037AD5">
        <w:rPr>
          <w:rFonts w:ascii="Arial" w:eastAsia="Arial" w:hAnsi="Arial" w:cs="Arial"/>
          <w:lang w:val="en-US"/>
        </w:rPr>
        <w:t>The increased number of physical parameters constitutes an additional factor contributing to the expected rise in computational demand.</w:t>
      </w:r>
    </w:p>
    <w:p w14:paraId="1F7C5B94"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Our group’s current computational resources (a mainframe Supermicro H12DSG equipped with dual AMD Milan 7763 processors, along with several desktop PCs) are insufficient for the planned numerical simulations. The mainframe is already heavily used by doctoral students and researchers for various ongoing projects unrelated to this proposal, primarily involving intensive DFT calculations and simulations using the Kwant toolkit. Therefore, access to a dedicated high-performance computing system is highly desirable. It is important to note that our Matlab-based codes are not compatible with the infrastructure of the Red Española de Supercomputación. Consequently, we plan to acquire a Supermicro H12DSG mainframe for 30.000€.</w:t>
      </w:r>
    </w:p>
    <w:p w14:paraId="00D20513"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As mentioned in the explanation of the SP1 budget, we will cover the publication charges of two of the four planned papers to be published by the consortium (5.000€).</w:t>
      </w:r>
    </w:p>
    <w:p w14:paraId="1419683F"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Finally, we</w:t>
      </w:r>
      <w:r w:rsidRPr="00037AD5">
        <w:rPr>
          <w:rFonts w:ascii="Arial" w:eastAsia="Arial" w:hAnsi="Arial" w:cs="Arial"/>
          <w:b/>
          <w:lang w:val="en-US"/>
        </w:rPr>
        <w:t xml:space="preserve"> </w:t>
      </w:r>
      <w:r w:rsidRPr="00037AD5">
        <w:rPr>
          <w:rFonts w:ascii="Arial" w:eastAsia="Arial" w:hAnsi="Arial" w:cs="Arial"/>
          <w:lang w:val="en-US"/>
        </w:rPr>
        <w:t>will allocate 6.000€ to cover travel expenses directly associated with the research activities of SP2 members (visits to other institutions) and 1.200€ for audit costs (required by UCM).</w:t>
      </w:r>
    </w:p>
    <w:p w14:paraId="2DC0F129"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The requested direct costs for SP2 at UCM amount to 117.941€. </w:t>
      </w:r>
    </w:p>
    <w:p w14:paraId="384FA09B" w14:textId="77777777" w:rsidR="00EC6124" w:rsidRPr="00037AD5" w:rsidRDefault="00EC6124">
      <w:pPr>
        <w:spacing w:before="240" w:after="240" w:line="240" w:lineRule="auto"/>
        <w:jc w:val="both"/>
        <w:rPr>
          <w:rFonts w:ascii="Arial" w:eastAsia="Arial" w:hAnsi="Arial" w:cs="Arial"/>
          <w:lang w:val="en-US"/>
        </w:rPr>
      </w:pPr>
    </w:p>
    <w:p w14:paraId="30409932" w14:textId="77777777" w:rsidR="00EC6124" w:rsidRPr="00037AD5" w:rsidRDefault="00EC6124">
      <w:pPr>
        <w:spacing w:before="240" w:after="240" w:line="240" w:lineRule="auto"/>
        <w:jc w:val="both"/>
        <w:rPr>
          <w:rFonts w:ascii="Arial" w:eastAsia="Arial" w:hAnsi="Arial" w:cs="Arial"/>
          <w:lang w:val="en-US"/>
        </w:rPr>
      </w:pPr>
    </w:p>
    <w:p w14:paraId="5DF080AE" w14:textId="77777777" w:rsidR="00134B9E" w:rsidRPr="00037AD5" w:rsidRDefault="00EC6124">
      <w:pPr>
        <w:spacing w:before="240" w:after="240" w:line="240" w:lineRule="auto"/>
        <w:jc w:val="both"/>
        <w:rPr>
          <w:lang w:val="en-US"/>
        </w:rPr>
      </w:pPr>
      <w:r w:rsidRPr="00037AD5">
        <w:rPr>
          <w:rFonts w:ascii="Arial" w:eastAsia="Arial" w:hAnsi="Arial" w:cs="Arial"/>
          <w:b/>
          <w:color w:val="000000"/>
          <w:lang w:val="en-US"/>
        </w:rPr>
        <w:lastRenderedPageBreak/>
        <w:t>6. Equipo de investigación - Research team</w:t>
      </w:r>
    </w:p>
    <w:p w14:paraId="6E85800B"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A central pillar of this proposal is the strong integration and mutual reinforcement between the two subprojects, each contributing complementary expertise toward shared strategic goals. This interdisciplinary collaboration is not incidental but intentional, supported by:</w:t>
      </w:r>
    </w:p>
    <w:p w14:paraId="128E0CA7" w14:textId="77777777" w:rsidR="00134B9E" w:rsidRPr="00037AD5" w:rsidRDefault="00EC6124">
      <w:pPr>
        <w:numPr>
          <w:ilvl w:val="0"/>
          <w:numId w:val="1"/>
        </w:numPr>
        <w:spacing w:before="240" w:after="0" w:line="240" w:lineRule="auto"/>
        <w:jc w:val="both"/>
        <w:rPr>
          <w:rFonts w:ascii="Arial" w:eastAsia="Arial" w:hAnsi="Arial" w:cs="Arial"/>
          <w:lang w:val="en-US"/>
        </w:rPr>
      </w:pPr>
      <w:r w:rsidRPr="00037AD5">
        <w:rPr>
          <w:rFonts w:ascii="Arial" w:eastAsia="Arial" w:hAnsi="Arial" w:cs="Arial"/>
          <w:lang w:val="en-US"/>
        </w:rPr>
        <w:t>close and continuous interaction among team members,</w:t>
      </w:r>
    </w:p>
    <w:p w14:paraId="6E881072" w14:textId="77777777" w:rsidR="00134B9E" w:rsidRPr="00037AD5" w:rsidRDefault="00EC6124">
      <w:pPr>
        <w:numPr>
          <w:ilvl w:val="0"/>
          <w:numId w:val="1"/>
        </w:numPr>
        <w:spacing w:after="0" w:line="240" w:lineRule="auto"/>
        <w:jc w:val="both"/>
        <w:rPr>
          <w:rFonts w:ascii="Arial" w:eastAsia="Arial" w:hAnsi="Arial" w:cs="Arial"/>
          <w:lang w:val="en-US"/>
        </w:rPr>
      </w:pPr>
      <w:r w:rsidRPr="00037AD5">
        <w:rPr>
          <w:rFonts w:ascii="Arial" w:eastAsia="Arial" w:hAnsi="Arial" w:cs="Arial"/>
          <w:lang w:val="en-US"/>
        </w:rPr>
        <w:t>the longstanding relationship between the PIs, who are both experienced in interdisciplinary research, and</w:t>
      </w:r>
    </w:p>
    <w:p w14:paraId="74EBE4F0" w14:textId="77777777" w:rsidR="00134B9E" w:rsidRPr="00037AD5" w:rsidRDefault="00EC6124">
      <w:pPr>
        <w:numPr>
          <w:ilvl w:val="0"/>
          <w:numId w:val="1"/>
        </w:numPr>
        <w:spacing w:after="240" w:line="240" w:lineRule="auto"/>
        <w:jc w:val="both"/>
        <w:rPr>
          <w:rFonts w:ascii="Arial" w:eastAsia="Arial" w:hAnsi="Arial" w:cs="Arial"/>
          <w:lang w:val="en-US"/>
        </w:rPr>
      </w:pPr>
      <w:r w:rsidRPr="00037AD5">
        <w:rPr>
          <w:rFonts w:ascii="Arial" w:eastAsia="Arial" w:hAnsi="Arial" w:cs="Arial"/>
          <w:lang w:val="en-US"/>
        </w:rPr>
        <w:t>a solid, well-structured coordination strategy informed by multiple successful joint projects in the past.</w:t>
      </w:r>
    </w:p>
    <w:p w14:paraId="18BAD163"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The collaboration between the Universidad Complutense de Madrid (UCM) and the Universidad de Salamanca (USAL) teams is well established, with over a decade of productive joint research. In particular, the partnership has been reinforced over the past eleven years through four coordinated research projects (MAT2013-46308-C2-R, MAT2016-75955-C2-R, PID2019-106820RB-C2, and PID2022-136285NB-C3). These initiatives have fostered regular cross-institutional visits and in-person seminars, facilitating the exchange of results and the refinement of ideas. An unequivocal proof of the success of this collaboration is the high number of jointly published articles, involving researchers from both universities. For instance, in the outgoing project PID2022-136285NB-C3 we already jointly published 6 papers, as detailed in the 18 month progress report submitted recently.</w:t>
      </w:r>
    </w:p>
    <w:p w14:paraId="51FF82BA"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While current communication technologies (email, videoconferencing) allow us to collaborate efficiently across distances, we will further strengthen coordination by organizing two in-person Programme Coordination Workshops annually. These meetings will provide a platform for presenting ongoing results, aligning objectives, and fostering interdisciplinary discussion across both subprojects.</w:t>
      </w:r>
    </w:p>
    <w:p w14:paraId="52470983"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The coordination between groups with distinct but complementary scientific strengths drives this proposal. The Quantum Nanosystems Group (QNG,</w:t>
      </w:r>
      <w:hyperlink r:id="rId23">
        <w:r w:rsidRPr="00037AD5">
          <w:rPr>
            <w:rFonts w:ascii="Arial" w:eastAsia="Arial" w:hAnsi="Arial" w:cs="Arial"/>
            <w:lang w:val="en-US"/>
          </w:rPr>
          <w:t xml:space="preserve"> </w:t>
        </w:r>
      </w:hyperlink>
      <w:hyperlink r:id="rId24">
        <w:r w:rsidRPr="00037AD5">
          <w:rPr>
            <w:rFonts w:ascii="Arial" w:eastAsia="Arial" w:hAnsi="Arial" w:cs="Arial"/>
            <w:color w:val="1155CC"/>
            <w:u w:val="single"/>
            <w:lang w:val="en-US"/>
          </w:rPr>
          <w:t>www.qng.es</w:t>
        </w:r>
      </w:hyperlink>
      <w:r w:rsidRPr="00037AD5">
        <w:rPr>
          <w:rFonts w:ascii="Arial" w:eastAsia="Arial" w:hAnsi="Arial" w:cs="Arial"/>
          <w:lang w:val="en-US"/>
        </w:rPr>
        <w:t>) at UCM, in collaboration with the Instituto de Estructura de la Materia of CSIC (IEM,</w:t>
      </w:r>
      <w:hyperlink r:id="rId25">
        <w:r w:rsidRPr="00037AD5">
          <w:rPr>
            <w:rFonts w:ascii="Arial" w:eastAsia="Arial" w:hAnsi="Arial" w:cs="Arial"/>
            <w:lang w:val="en-US"/>
          </w:rPr>
          <w:t xml:space="preserve"> </w:t>
        </w:r>
      </w:hyperlink>
      <w:hyperlink r:id="rId26">
        <w:r w:rsidRPr="00037AD5">
          <w:rPr>
            <w:rFonts w:ascii="Arial" w:eastAsia="Arial" w:hAnsi="Arial" w:cs="Arial"/>
            <w:color w:val="1155CC"/>
            <w:u w:val="single"/>
            <w:lang w:val="en-US"/>
          </w:rPr>
          <w:t>www.iem.csic.es</w:t>
        </w:r>
      </w:hyperlink>
      <w:r w:rsidRPr="00037AD5">
        <w:rPr>
          <w:rFonts w:ascii="Arial" w:eastAsia="Arial" w:hAnsi="Arial" w:cs="Arial"/>
          <w:lang w:val="en-US"/>
        </w:rPr>
        <w:t>), has made significant advances in theoretical proposals for nanodevices based on topological materials, such as transistors and resonant spin filters. However, translating these theoretical models into functional devices requires robust experimental validation. This is precisely where the partnership with the Nanotechnology Group (NANOTECH,</w:t>
      </w:r>
      <w:hyperlink r:id="rId27">
        <w:r w:rsidRPr="00037AD5">
          <w:rPr>
            <w:rFonts w:ascii="Arial" w:eastAsia="Arial" w:hAnsi="Arial" w:cs="Arial"/>
            <w:lang w:val="en-US"/>
          </w:rPr>
          <w:t xml:space="preserve"> </w:t>
        </w:r>
      </w:hyperlink>
      <w:hyperlink r:id="rId28">
        <w:r w:rsidRPr="00037AD5">
          <w:rPr>
            <w:rFonts w:ascii="Arial" w:eastAsia="Arial" w:hAnsi="Arial" w:cs="Arial"/>
            <w:color w:val="1155CC"/>
            <w:u w:val="single"/>
            <w:lang w:val="en-US"/>
          </w:rPr>
          <w:t>nanotech.usal.es</w:t>
        </w:r>
      </w:hyperlink>
      <w:r w:rsidRPr="00037AD5">
        <w:rPr>
          <w:rFonts w:ascii="Arial" w:eastAsia="Arial" w:hAnsi="Arial" w:cs="Arial"/>
          <w:lang w:val="en-US"/>
        </w:rPr>
        <w:t xml:space="preserve">) at USAL becomes crucial. The group brings deep expertise and advanced infrastructure for the fabrication and characterization of nanodevices, including a state-of-the-art Clean Room facility. Moreover, NANOTECH maintains active </w:t>
      </w:r>
      <w:r w:rsidRPr="00037AD5">
        <w:rPr>
          <w:rFonts w:ascii="Arial" w:eastAsia="Arial" w:hAnsi="Arial" w:cs="Arial"/>
          <w:b/>
          <w:lang w:val="en-US"/>
        </w:rPr>
        <w:t>collaborations with several leading international laboratories pertinent to this proof-of-concept project</w:t>
      </w:r>
      <w:r w:rsidRPr="00037AD5">
        <w:rPr>
          <w:rFonts w:ascii="Arial" w:eastAsia="Arial" w:hAnsi="Arial" w:cs="Arial"/>
          <w:lang w:val="en-US"/>
        </w:rPr>
        <w:t xml:space="preserve"> (</w:t>
      </w:r>
      <w:hyperlink r:id="rId29">
        <w:r w:rsidRPr="00037AD5">
          <w:rPr>
            <w:rFonts w:ascii="Arial" w:eastAsia="Arial" w:hAnsi="Arial" w:cs="Arial"/>
            <w:color w:val="1155CC"/>
            <w:u w:val="single"/>
            <w:lang w:val="en-US"/>
          </w:rPr>
          <w:t>CENTERA</w:t>
        </w:r>
      </w:hyperlink>
      <w:r w:rsidRPr="00037AD5">
        <w:rPr>
          <w:rFonts w:ascii="Arial" w:eastAsia="Arial" w:hAnsi="Arial" w:cs="Arial"/>
          <w:lang w:val="en-US"/>
        </w:rPr>
        <w:t>, Universities in New South Wales, McGill, and IIT-Laboratorio NEST).</w:t>
      </w:r>
    </w:p>
    <w:p w14:paraId="0A44CEAB" w14:textId="18A1FF26"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b/>
          <w:lang w:val="en-US"/>
        </w:rPr>
        <w:t>Subproject 1 (USAL)</w:t>
      </w:r>
      <w:r w:rsidRPr="00037AD5">
        <w:rPr>
          <w:rFonts w:ascii="Arial" w:eastAsia="Arial" w:hAnsi="Arial" w:cs="Arial"/>
          <w:lang w:val="en-US"/>
        </w:rPr>
        <w:t xml:space="preserve">: The team members combine exceptional experimental and theoretical expertise in exotic quantum phenomena and nonlinear physics in nanodevices, with a strong focus on 2D materials. Enrique Díez Fernández, PI1 of SP1 (Subproject 1), is a Full Professor and Head of the NANOTECH group at the University of Salamanca. He has a proven track record in the field of THz technology, as highlighted in his CV, and is responsible for establishing most of the group's laboratories, including the Clean Room and the Low-Temperature Lab, and is a co-founder of TeraLab. In this project, he will coordinate the research efforts and oversee all experimental tasks. His extensive experience in designing and characterizing nanodevices, combined with his background in theoretical condensed matter physics, enables him to contribute to both experimental execution and modeling challenges. Mario Amado Montero, PI2 of SP1 and Associate Professor, brings recognized expertise in the study of hydrodynamic transport in graphene heterostructures —a field in which he has a solid and proven research record, particularly in working with stacks of 2D materials. His earlier postdoctoral research at Laboratorio NEST-SNS in Pisa provided him with valuable experience </w:t>
      </w:r>
      <w:r w:rsidRPr="00037AD5">
        <w:rPr>
          <w:rFonts w:ascii="Arial" w:eastAsia="Arial" w:hAnsi="Arial" w:cs="Arial"/>
          <w:lang w:val="en-US"/>
        </w:rPr>
        <w:lastRenderedPageBreak/>
        <w:t xml:space="preserve">in topologically nontrivial materials. At the same time, his subsequent work at the University of Cambridge focused on material deposition, induced magnetism, and spintronics. The rest of the team also brings complementary strengths, particularly in the fabrication and characterization of graphene-based and other 2D-material nanodevices. Vito Clericò, who earned his PhD in 2020 under the supervision of PI1, is currently the head of the USAL Clean Room technical staff. He pioneered the graphene Cryo-Etching technique, enabling the fabrication of nanoconstrictions with extremely low edge roughness, and now coordinates technical tasks alongside PhD students. El-Hadj Abidi is a PhD student in THz spectroscopy at USAL and a clean room technician at USAL Nanotech, bringing invaluable experience in this field. Javier Gil, also a clean room technician, supports all stages of the fabrication process. Pablo Canteli Morales, a recently appointed PhD student (FPU scholarship), is currently investigating graphene hydrodynamics in engineered superlattices. Marta García Olmos, a third-year PhD student supported by a JCyL scholarship, is conducting successful research on topology in two-dimensional materials. Her joint PhD, co-supervised by members from both subprojects, exemplifies strong coordination and active collaboration across the teams.  To summarize, the senior members of the USAL team are: Enrique Diez Fernández (Full Professor), Mario Amado Montero (Associate Professor), and Vito Clericò (Technical Staff  of the Clean-room  and Phd in Physics) </w:t>
      </w:r>
      <w:r w:rsidR="001D56AB">
        <w:rPr>
          <w:rFonts w:ascii="Arial" w:eastAsia="Arial" w:hAnsi="Arial" w:cs="Arial"/>
          <w:lang w:val="en-US"/>
        </w:rPr>
        <w:t xml:space="preserve">although he belongs to the work team as Technical Staff participant. </w:t>
      </w:r>
      <w:bookmarkStart w:id="0" w:name="_GoBack"/>
      <w:bookmarkEnd w:id="0"/>
    </w:p>
    <w:p w14:paraId="0CB93510"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b/>
          <w:lang w:val="en-US"/>
        </w:rPr>
        <w:t>Subproject 2</w:t>
      </w:r>
      <w:r w:rsidRPr="00037AD5">
        <w:rPr>
          <w:rFonts w:ascii="Arial" w:eastAsia="Arial" w:hAnsi="Arial" w:cs="Arial"/>
          <w:lang w:val="en-US"/>
        </w:rPr>
        <w:t xml:space="preserve"> (UCM+IEM): The team members possess excellent qualifications in the design and modeling of nanostructures based on III-V and IV-VI compound semiconductors, graphene, and related materials, such as silicene and transition metal dichalcogenides (TMDs). Their strength relies on the ability to address problems using semi-empirical approximations and continuous (usually low-energy) models, as well as the Boltzmann transport equation, more recently. </w:t>
      </w:r>
    </w:p>
    <w:p w14:paraId="38357078" w14:textId="3941E1B1" w:rsidR="00134B9E" w:rsidRPr="00037AD5" w:rsidRDefault="00EC6124">
      <w:pPr>
        <w:spacing w:before="240" w:after="100" w:line="240" w:lineRule="auto"/>
        <w:jc w:val="both"/>
        <w:rPr>
          <w:rFonts w:ascii="Arial" w:eastAsia="Arial" w:hAnsi="Arial" w:cs="Arial"/>
          <w:lang w:val="en-US"/>
        </w:rPr>
      </w:pPr>
      <w:r w:rsidRPr="00037AD5">
        <w:rPr>
          <w:rFonts w:ascii="Arial" w:eastAsia="Arial" w:hAnsi="Arial" w:cs="Arial"/>
          <w:lang w:val="en-US"/>
        </w:rPr>
        <w:t>PI1 of SP2 (Francisco Domínguez-Adame Acosta) is the head of the Quantum Nanosystems Group. He has a training in experimental materials physics after completing his PhD Thesis. His expertise has undoubtedly facilitated collaborations not only with SP1 but also eventually with other international groups and laboratories. PI2 of SP2 (Leonor Chico Gómez) has a strong background in modeling the transport properties of complex materials using phenomenological models and ab initio calculations. The rest of the team has extensive and valuable experience in modeling and simulating the electronic and optical properties of advanced materials at the quantum level. Elena Díaz García is an expert in electron hydrodynamics in 2D materials. She is co-supervising the PhD Thesis of Jorge Estrada Álvarez (3rd year) jointly with PI1. Rafael Molina Fernández has a long career in the study of quantum transport in nanoscale materials. In particular, he is an expert in the response of electrons in solids subject to time-dependent electromagnetic fields, thus providing support to WP1. Additionally, he is supervising the PhD Thesis of Marta García's PhD thesis, with PI2 of SP1. Andrey Malyshev is an expert in collective electron dynamics (plasmons), light-matter interactions, and nonlinear physics, and he will be crucial to achieving the goals of WP1. Armando Relaño Pérez will contribute to the consortium by analyzing many-body physics in 2D systems, thereby helping to tackle the objectives of WP2. In summary, the senior members of the UCM+IEM team are Francisco Domínguez-Adame Acosta (UCM, Full Professor), Leonor Chico Gómez (UCM, Full Professor), Elena Díaz García (UCM, Full Professor), Rafael Molina Fernández (IEM - CSIC, Researcher), Andrey V. Malyshev (UCM, Associate Professor), and Armando Relaño Pérez (UCM, Associate Professor).</w:t>
      </w:r>
    </w:p>
    <w:p w14:paraId="75287445" w14:textId="77777777" w:rsidR="00134B9E" w:rsidRPr="00037AD5" w:rsidRDefault="00EC6124">
      <w:pPr>
        <w:spacing w:before="200" w:after="100" w:line="240" w:lineRule="auto"/>
        <w:jc w:val="both"/>
        <w:rPr>
          <w:rFonts w:ascii="Arial" w:eastAsia="Arial" w:hAnsi="Arial" w:cs="Arial"/>
          <w:u w:val="single"/>
          <w:lang w:val="en-US"/>
        </w:rPr>
      </w:pPr>
      <w:r w:rsidRPr="00037AD5">
        <w:rPr>
          <w:rFonts w:ascii="Arial" w:eastAsia="Arial" w:hAnsi="Arial" w:cs="Arial"/>
          <w:u w:val="single"/>
          <w:lang w:val="en-US"/>
        </w:rPr>
        <w:t>Material and equipment resources available for the execution of the project.</w:t>
      </w:r>
    </w:p>
    <w:p w14:paraId="2C01829D"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The experimental work outlined in this proposal will be conducted primarily on the premises of USAL and ICMM. The Nanotech group at USAL hosts two fully functioning measurement laboratories (Low Temperature Laboratory and Optoelectronics Laboratory) and a fully equipped Clean Room facility, primarily devoted to the fabrication and processing of 2D material heterostructures. These facilities have been funded by national and local competitive projects coordinated by the PI1 of SP1 (E. Diez).  We underline the  main setups and </w:t>
      </w:r>
      <w:r w:rsidRPr="00037AD5">
        <w:rPr>
          <w:rFonts w:ascii="Arial" w:eastAsia="Arial" w:hAnsi="Arial" w:cs="Arial"/>
          <w:lang w:val="en-US"/>
        </w:rPr>
        <w:lastRenderedPageBreak/>
        <w:t xml:space="preserve">equipment from the Nanotech group below, and a complete overview of the facilities can be found at </w:t>
      </w:r>
      <w:hyperlink r:id="rId30">
        <w:r w:rsidRPr="00037AD5">
          <w:rPr>
            <w:rFonts w:ascii="Arial" w:eastAsia="Arial" w:hAnsi="Arial" w:cs="Arial"/>
            <w:color w:val="1155CC"/>
            <w:u w:val="single"/>
            <w:lang w:val="en-US"/>
          </w:rPr>
          <w:t>https://nanotech.usal.es/facilities/</w:t>
        </w:r>
      </w:hyperlink>
    </w:p>
    <w:p w14:paraId="50FC8B23"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I. </w:t>
      </w:r>
      <w:r w:rsidRPr="00037AD5">
        <w:rPr>
          <w:rFonts w:ascii="Arial" w:eastAsia="Arial" w:hAnsi="Arial" w:cs="Arial"/>
          <w:u w:val="single"/>
          <w:lang w:val="en-US"/>
        </w:rPr>
        <w:t>Nanotechnology Clean-Room:</w:t>
      </w:r>
      <w:r w:rsidRPr="00037AD5">
        <w:rPr>
          <w:rFonts w:ascii="Arial" w:eastAsia="Arial" w:hAnsi="Arial" w:cs="Arial"/>
          <w:lang w:val="en-US"/>
        </w:rPr>
        <w:t xml:space="preserve"> Nanolithography by Electron Beam Lithography (Sigma FE-SEM + Elphy+ Raith). ICP/RIE Plasma Cobra (Oxford Instruments) with seven different chemicals, including Cryo etching. Three home-made systems for 2D heterostructure fabrication. Rapid Thermal processing and deep-UV Mask Aligner. Micro-Raman Horiba LabRam HR Evolution. 2xEB-Physical vapor deposition (1 home-made installed and one more in Call of Tenders funded by Next Generation funding expected by Fall 2023. 2 x bespoke transfer set-up with a </w:t>
      </w:r>
      <w:r w:rsidRPr="00037AD5">
        <w:rPr>
          <w:rFonts w:ascii="Cambria Math" w:eastAsia="Cambria Math" w:hAnsi="Cambria Math" w:cs="Cambria Math"/>
          <w:lang w:val="en-US"/>
        </w:rPr>
        <w:t>Z</w:t>
      </w:r>
      <w:r w:rsidRPr="00037AD5">
        <w:rPr>
          <w:rFonts w:ascii="Arial" w:eastAsia="Arial" w:hAnsi="Arial" w:cs="Arial"/>
          <w:lang w:val="en-US"/>
        </w:rPr>
        <w:t>-stage and a heating Cu-plate for the fabrication of heterostructures based on the stacking of 2-dimensional materials.</w:t>
      </w:r>
    </w:p>
    <w:p w14:paraId="0372B036"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II. </w:t>
      </w:r>
      <w:r w:rsidRPr="00037AD5">
        <w:rPr>
          <w:rFonts w:ascii="Arial" w:eastAsia="Arial" w:hAnsi="Arial" w:cs="Arial"/>
          <w:u w:val="single"/>
          <w:lang w:val="en-US"/>
        </w:rPr>
        <w:t>Optical Laboratory:</w:t>
      </w:r>
      <w:r w:rsidRPr="00037AD5">
        <w:rPr>
          <w:rFonts w:ascii="Arial" w:eastAsia="Arial" w:hAnsi="Arial" w:cs="Arial"/>
          <w:lang w:val="en-US"/>
        </w:rPr>
        <w:t xml:space="preserve"> THz system with Quantum Cascade lasers from 1-3 THz. 2 x Low-Temperature optical system for optoelectronics characterization from visible to THz. Brucker FT-IR Vertex 70V spectrometer for NIR, MIR, and THz (LHe4 bolometer). Polarization and angle-resolved photocurrent spectroscopy home-made setup with a SuperK Compact supercontinuum laser (NKT Photonics).</w:t>
      </w:r>
    </w:p>
    <w:p w14:paraId="61DEA9B5"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III. </w:t>
      </w:r>
      <w:r w:rsidRPr="00037AD5">
        <w:rPr>
          <w:rFonts w:ascii="Arial" w:eastAsia="Arial" w:hAnsi="Arial" w:cs="Arial"/>
          <w:u w:val="single"/>
          <w:lang w:val="en-US"/>
        </w:rPr>
        <w:t>Low Temperature Laboratory:</w:t>
      </w:r>
      <w:r w:rsidRPr="00037AD5">
        <w:rPr>
          <w:rFonts w:ascii="Arial" w:eastAsia="Arial" w:hAnsi="Arial" w:cs="Arial"/>
          <w:lang w:val="en-US"/>
        </w:rPr>
        <w:t xml:space="preserve"> Teslatron-PT (Oxford Instruments) 12 Tesla -top loading with three inserts: VTI with rotator 260º from 1.5 K to room temperature and 300 mK with pre-installation for a piezo-rotator. Dilution fridge Triton, operating up to 7 mK with a 12 Tesla field. </w:t>
      </w:r>
    </w:p>
    <w:p w14:paraId="36217765"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Regarding computing needs of the theoretical work, the numerical solution of the Boltzmann and Navier-Stokes equations is a computationally demanding task, particularly when simulations are close to the diffusive regime. For this reason, and to mitigate the current limitations of the UCM team resources, we have included in the budget the expenses related to the acquisition of a high-performance workstation (see the budget of SP2 for further details).</w:t>
      </w:r>
    </w:p>
    <w:p w14:paraId="3CEE3416" w14:textId="77777777" w:rsidR="00134B9E" w:rsidRPr="00037AD5" w:rsidRDefault="00134B9E">
      <w:pPr>
        <w:pStyle w:val="Ttulo1"/>
        <w:spacing w:before="0"/>
        <w:rPr>
          <w:rFonts w:ascii="Arial" w:eastAsia="Arial" w:hAnsi="Arial" w:cs="Arial"/>
          <w:b/>
          <w:color w:val="000000"/>
          <w:sz w:val="22"/>
          <w:szCs w:val="22"/>
          <w:lang w:val="en-US"/>
        </w:rPr>
      </w:pPr>
    </w:p>
    <w:p w14:paraId="1950F408" w14:textId="77777777" w:rsidR="00134B9E" w:rsidRDefault="00EC6124">
      <w:pPr>
        <w:pStyle w:val="Ttulo1"/>
        <w:spacing w:before="0"/>
        <w:rPr>
          <w:rFonts w:ascii="Arial" w:eastAsia="Arial" w:hAnsi="Arial" w:cs="Arial"/>
          <w:b/>
          <w:color w:val="000000"/>
          <w:sz w:val="22"/>
          <w:szCs w:val="22"/>
        </w:rPr>
      </w:pPr>
      <w:r>
        <w:rPr>
          <w:rFonts w:ascii="Arial" w:eastAsia="Arial" w:hAnsi="Arial" w:cs="Arial"/>
          <w:b/>
          <w:color w:val="000000"/>
          <w:sz w:val="22"/>
          <w:szCs w:val="22"/>
        </w:rPr>
        <w:t>7. Impacto científico-técnico – Scientific and technical impact</w:t>
      </w:r>
    </w:p>
    <w:p w14:paraId="51AE87AF" w14:textId="77777777" w:rsidR="00134B9E" w:rsidRDefault="00134B9E"/>
    <w:p w14:paraId="2F9827EE" w14:textId="77777777" w:rsidR="00134B9E" w:rsidRPr="00037AD5" w:rsidRDefault="00EC6124">
      <w:pPr>
        <w:spacing w:after="240" w:line="240" w:lineRule="auto"/>
        <w:jc w:val="both"/>
        <w:rPr>
          <w:rFonts w:ascii="Arial" w:eastAsia="Arial" w:hAnsi="Arial" w:cs="Arial"/>
          <w:lang w:val="en-US"/>
        </w:rPr>
      </w:pPr>
      <w:r w:rsidRPr="00037AD5">
        <w:rPr>
          <w:rFonts w:ascii="Arial" w:eastAsia="Arial" w:hAnsi="Arial" w:cs="Arial"/>
          <w:lang w:val="en-US"/>
        </w:rPr>
        <w:t>The scientific relevance of electron hydrodynamics has grown significantly over recent decades, emerging as a compelling framework for understanding electron transport phenomena beyond the conventional regimes (diffusive and ballistic). Electron hydrodynamics refers to the collective behavior of electrons in a conductor or semiconductor, where electron-electron interactions dominate over scattering by impurities or phonons, enabling the electron fluid to exhibit flow characteristics analogous to those of classical fluids such as water or air. This perspective has opened new avenues for exploring fundamental physics and potential applications in nanoscale devices, quantum materials, and advanced electronics. In ultra-clean materials at intermediate temperatures or in systems with high electron densities, electron-electron scattering can become the primary interaction, facilitating a hydrodynamic regime where momentum-conserving collisions dominate. In this regime, electrons collectively behave like a viscous fluid, characterized by parameters such as viscosity, which were previously exclusive to classical fluid dynamics.</w:t>
      </w:r>
    </w:p>
    <w:p w14:paraId="7B40A9C1"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This hydrodynamic viewpoint has profound implications for understanding electrical resistance, thermal transport, and even the design of novel electronic phenomena. For example, the emergence of nonlocal transport effects and unusual flow patterns [SUL19,KU-20,VOO21], such as whirlpools and vortices [BAN16,AKA22,PAL24], in graphene and other 2D materials has been experimentally observed, confirming theoretical predictions and revealing the rich physics of electron fluids. Controlling the fabrication techniques for devices that bend electron trajectories enables technological applications for regulators and switches that allow for high-frequency response. Better control of the geometry would also have prospects for graphene amplifiers or oscillators in the THz regime  [EST24b], as those depicted in Figure 9. Additionally, the hydrodynamic behavior can also be harnessed to design devices with enhanced performance, such as low-dissipation interconnects [EST25c] or new types of sensors. Moreover, electron hydrodynamics bridges the fields of condensed matter physics </w:t>
      </w:r>
      <w:r w:rsidRPr="00037AD5">
        <w:rPr>
          <w:rFonts w:ascii="Arial" w:eastAsia="Arial" w:hAnsi="Arial" w:cs="Arial"/>
          <w:lang w:val="en-US"/>
        </w:rPr>
        <w:lastRenderedPageBreak/>
        <w:t>and fluid dynamics, providing insights into strongly correlated electron systems and exotic phases of matter.</w:t>
      </w:r>
    </w:p>
    <w:p w14:paraId="7ABD3836" w14:textId="77777777" w:rsidR="00134B9E" w:rsidRDefault="00EC6124">
      <w:pPr>
        <w:spacing w:before="240" w:after="240" w:line="240" w:lineRule="auto"/>
        <w:jc w:val="center"/>
        <w:rPr>
          <w:rFonts w:ascii="Arial" w:eastAsia="Arial" w:hAnsi="Arial" w:cs="Arial"/>
        </w:rPr>
      </w:pPr>
      <w:r>
        <w:rPr>
          <w:rFonts w:ascii="Arial" w:eastAsia="Arial" w:hAnsi="Arial" w:cs="Arial"/>
          <w:noProof/>
          <w:lang w:val="en-US"/>
        </w:rPr>
        <w:drawing>
          <wp:inline distT="114300" distB="114300" distL="114300" distR="114300" wp14:anchorId="01022358" wp14:editId="4A1286E3">
            <wp:extent cx="4315112" cy="1827212"/>
            <wp:effectExtent l="0" t="0" r="0" b="0"/>
            <wp:docPr id="179467209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1"/>
                    <a:srcRect/>
                    <a:stretch>
                      <a:fillRect/>
                    </a:stretch>
                  </pic:blipFill>
                  <pic:spPr>
                    <a:xfrm>
                      <a:off x="0" y="0"/>
                      <a:ext cx="4315112" cy="1827212"/>
                    </a:xfrm>
                    <a:prstGeom prst="rect">
                      <a:avLst/>
                    </a:prstGeom>
                    <a:ln/>
                  </pic:spPr>
                </pic:pic>
              </a:graphicData>
            </a:graphic>
          </wp:inline>
        </w:drawing>
      </w:r>
    </w:p>
    <w:p w14:paraId="48226D6C" w14:textId="77777777" w:rsidR="00134B9E" w:rsidRPr="00037AD5" w:rsidRDefault="00EC6124">
      <w:pPr>
        <w:spacing w:after="0" w:line="240" w:lineRule="auto"/>
        <w:jc w:val="both"/>
        <w:rPr>
          <w:rFonts w:ascii="Arial" w:eastAsia="Arial" w:hAnsi="Arial" w:cs="Arial"/>
          <w:lang w:val="en-US"/>
        </w:rPr>
      </w:pPr>
      <w:r w:rsidRPr="00037AD5">
        <w:rPr>
          <w:rFonts w:ascii="Arial" w:eastAsia="Arial" w:hAnsi="Arial" w:cs="Arial"/>
          <w:b/>
          <w:color w:val="0E101A"/>
          <w:sz w:val="18"/>
          <w:szCs w:val="18"/>
          <w:lang w:val="en-US"/>
        </w:rPr>
        <w:t>Figure 9</w:t>
      </w:r>
      <w:r w:rsidRPr="00037AD5">
        <w:rPr>
          <w:rFonts w:ascii="Arial" w:eastAsia="Arial" w:hAnsi="Arial" w:cs="Arial"/>
          <w:color w:val="0E101A"/>
          <w:sz w:val="18"/>
          <w:szCs w:val="18"/>
          <w:lang w:val="en-US"/>
        </w:rPr>
        <w:t>: Further improving the fabrication technique and the control of the electron trajectories has an impact on the prospects for the fabrication of (a) graphene amplifiers or (b) high-frequency oscillators. Figure adapted from reference [EST24b].</w:t>
      </w:r>
    </w:p>
    <w:p w14:paraId="6BCCA12C"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 xml:space="preserve">From a technological standpoint, understanding electron hydrodynamics could revolutionize the design of future electronic components, especially as device dimensions shrink and quantum effects become dominant. Classical models fail to capture the complex interplay between interactions and confinement in nanoscale conductors. However, hydrodynamic models offer a more accurate and predictive description. This can lead to innovations in energy-efficient electronics, as controlling electron flow at the hydrodynamic level can reduce Joule heating and improve thermal management. </w:t>
      </w:r>
    </w:p>
    <w:p w14:paraId="24500621" w14:textId="77777777" w:rsidR="00134B9E" w:rsidRPr="00037AD5" w:rsidRDefault="00EC6124">
      <w:pPr>
        <w:spacing w:before="240" w:after="240" w:line="240" w:lineRule="auto"/>
        <w:jc w:val="both"/>
        <w:rPr>
          <w:rFonts w:ascii="Arial" w:eastAsia="Arial" w:hAnsi="Arial" w:cs="Arial"/>
          <w:lang w:val="en-US"/>
        </w:rPr>
      </w:pPr>
      <w:r w:rsidRPr="00037AD5">
        <w:rPr>
          <w:rFonts w:ascii="Arial" w:eastAsia="Arial" w:hAnsi="Arial" w:cs="Arial"/>
          <w:lang w:val="en-US"/>
        </w:rPr>
        <w:t>The scientific significance of electron hydrodynamics lies in its ability to unify concepts from fluid mechanics and quantum physics, thereby describing and exploiting collective electron behavior in modern materials. It enriches our fundamental knowledge of electron interactions while paving the way for novel electronic technologies that leverage the fluid-like properties of electrons. As experimental and theoretical tools continue to evolve, electron hydrodynamics is poised to become a cornerstone of condensed matter physics and nanoscale engineering in the 21st century.</w:t>
      </w:r>
    </w:p>
    <w:p w14:paraId="2D07DE41" w14:textId="77777777" w:rsidR="00134B9E" w:rsidRDefault="00EC6124">
      <w:pPr>
        <w:pStyle w:val="Ttulo1"/>
        <w:spacing w:before="0"/>
        <w:rPr>
          <w:rFonts w:ascii="Arial" w:eastAsia="Arial" w:hAnsi="Arial" w:cs="Arial"/>
          <w:b/>
          <w:color w:val="000000"/>
          <w:sz w:val="22"/>
          <w:szCs w:val="22"/>
        </w:rPr>
      </w:pPr>
      <w:r>
        <w:rPr>
          <w:rFonts w:ascii="Arial" w:eastAsia="Arial" w:hAnsi="Arial" w:cs="Arial"/>
          <w:b/>
          <w:color w:val="000000"/>
          <w:sz w:val="22"/>
          <w:szCs w:val="22"/>
        </w:rPr>
        <w:t>8. Impacto social y económico – Social and economic impact</w:t>
      </w:r>
    </w:p>
    <w:p w14:paraId="21E63B48" w14:textId="77777777" w:rsidR="00134B9E" w:rsidRDefault="00EC6124">
      <w:pPr>
        <w:pStyle w:val="Ttulo1"/>
        <w:spacing w:before="0"/>
        <w:rPr>
          <w:rFonts w:ascii="Arial" w:eastAsia="Arial" w:hAnsi="Arial" w:cs="Arial"/>
          <w:b/>
        </w:rPr>
      </w:pPr>
      <w:r>
        <w:t xml:space="preserve"> </w:t>
      </w:r>
      <w:r>
        <w:tab/>
      </w:r>
    </w:p>
    <w:p w14:paraId="187D0091"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The recent global semiconductor and chip shortage in Western economies highlights the profound impact of technology on modern life [MOH22]. Nevertheless, the pursuit of miniaturizing electronic devices, which has sustained the semiconductor industry, is nearing an end. Moore's law is facing the fundamental limits of physics, and further developments require a paradigm change, with 2D materials postulated as an outstanding alternative. However, several 2D materials [AKI19], including GaAs/AlGaAs heterostructures or graphene,  exhibit exotic transport properties. </w:t>
      </w:r>
    </w:p>
    <w:p w14:paraId="0E8B7220"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Electron hydrodynamics describes their electrical properties and also results in technological advantages. One advantage is superballistic conduction [EST25a], which reduces the resistance of the devices below the ballistic limit and largely mitigates the impact of thermal dissipation when the device's size is reduced [KUM17,STE22,EST25c]. The nanostructured graphene devices in this project will inevitably exhibit an effect whose technological relevance is evident [EST25a]. The advent of artificial intelligence causes data centers to consume a remarkable percentage of energy in many countries, posing a sustainability issue to the ever-increasing world energy consumption [VAR23]. Consequently, exploring any mechanism that can </w:t>
      </w:r>
      <w:r w:rsidRPr="00037AD5">
        <w:rPr>
          <w:rFonts w:ascii="Arial" w:eastAsia="Arial" w:hAnsi="Arial" w:cs="Arial"/>
          <w:b/>
          <w:lang w:val="en-US"/>
        </w:rPr>
        <w:t>reduce the energy consumption</w:t>
      </w:r>
      <w:r w:rsidRPr="00037AD5">
        <w:rPr>
          <w:rFonts w:ascii="Arial" w:eastAsia="Arial" w:hAnsi="Arial" w:cs="Arial"/>
          <w:lang w:val="en-US"/>
        </w:rPr>
        <w:t xml:space="preserve"> of electronics will have an immediate social and environmental impact. </w:t>
      </w:r>
    </w:p>
    <w:p w14:paraId="16A5F8FD"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lastRenderedPageBreak/>
        <w:t xml:space="preserve">Graphene offers new possibilities due to its high mobility and, particularly, its high-frequency response for terahertz devices. The term THz gap refers to the scarcity of technologies capable of emitting and detecting electromagnetic radiation across an entire band of the electromagnetic spectrum. With several </w:t>
      </w:r>
      <w:r w:rsidRPr="00037AD5">
        <w:rPr>
          <w:rFonts w:ascii="Arial" w:eastAsia="Arial" w:hAnsi="Arial" w:cs="Arial"/>
          <w:b/>
          <w:lang w:val="en-US"/>
        </w:rPr>
        <w:t>applications</w:t>
      </w:r>
      <w:r w:rsidRPr="00037AD5">
        <w:rPr>
          <w:rFonts w:ascii="Arial" w:eastAsia="Arial" w:hAnsi="Arial" w:cs="Arial"/>
          <w:lang w:val="en-US"/>
        </w:rPr>
        <w:t xml:space="preserve">, including medical images as an alternative to ionizing radiation, terahertz radiation is in its infancy, particularly compared with other bands of electromagnetic radiation [LEI23]. The first device we propose in this project is a terahertz detector [KRA25], which contributes to efforts to </w:t>
      </w:r>
      <w:r w:rsidRPr="00037AD5">
        <w:rPr>
          <w:rFonts w:ascii="Arial" w:eastAsia="Arial" w:hAnsi="Arial" w:cs="Arial"/>
          <w:b/>
          <w:lang w:val="en-US"/>
        </w:rPr>
        <w:t>close the terahertz gap</w:t>
      </w:r>
      <w:r w:rsidRPr="00037AD5">
        <w:rPr>
          <w:rFonts w:ascii="Arial" w:eastAsia="Arial" w:hAnsi="Arial" w:cs="Arial"/>
          <w:lang w:val="en-US"/>
        </w:rPr>
        <w:t xml:space="preserve">. </w:t>
      </w:r>
    </w:p>
    <w:p w14:paraId="784DC0B2" w14:textId="77777777" w:rsidR="00134B9E" w:rsidRDefault="00EC6124">
      <w:pPr>
        <w:spacing w:after="100" w:line="240" w:lineRule="auto"/>
        <w:jc w:val="center"/>
        <w:rPr>
          <w:rFonts w:ascii="Arial" w:eastAsia="Arial" w:hAnsi="Arial" w:cs="Arial"/>
        </w:rPr>
      </w:pPr>
      <w:r>
        <w:rPr>
          <w:rFonts w:ascii="Arial" w:eastAsia="Arial" w:hAnsi="Arial" w:cs="Arial"/>
          <w:noProof/>
          <w:lang w:val="en-US"/>
        </w:rPr>
        <w:drawing>
          <wp:inline distT="114300" distB="114300" distL="114300" distR="114300" wp14:anchorId="43CD9AD7" wp14:editId="69634508">
            <wp:extent cx="1612900" cy="2070100"/>
            <wp:effectExtent l="0" t="0" r="6350" b="6350"/>
            <wp:docPr id="179467209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2"/>
                    <a:srcRect/>
                    <a:stretch>
                      <a:fillRect/>
                    </a:stretch>
                  </pic:blipFill>
                  <pic:spPr>
                    <a:xfrm>
                      <a:off x="0" y="0"/>
                      <a:ext cx="1613155" cy="2070427"/>
                    </a:xfrm>
                    <a:prstGeom prst="rect">
                      <a:avLst/>
                    </a:prstGeom>
                    <a:ln/>
                  </pic:spPr>
                </pic:pic>
              </a:graphicData>
            </a:graphic>
          </wp:inline>
        </w:drawing>
      </w:r>
    </w:p>
    <w:p w14:paraId="59E6751B" w14:textId="77777777" w:rsidR="00134B9E" w:rsidRPr="00037AD5" w:rsidRDefault="00EC6124">
      <w:pPr>
        <w:spacing w:after="0" w:line="240" w:lineRule="auto"/>
        <w:jc w:val="both"/>
        <w:rPr>
          <w:rFonts w:ascii="Arial" w:eastAsia="Arial" w:hAnsi="Arial" w:cs="Arial"/>
          <w:lang w:val="en-US"/>
        </w:rPr>
      </w:pPr>
      <w:r w:rsidRPr="00037AD5">
        <w:rPr>
          <w:rFonts w:ascii="Arial" w:eastAsia="Arial" w:hAnsi="Arial" w:cs="Arial"/>
          <w:b/>
          <w:color w:val="0E101A"/>
          <w:sz w:val="18"/>
          <w:szCs w:val="18"/>
          <w:lang w:val="en-US"/>
        </w:rPr>
        <w:t>Figure 10</w:t>
      </w:r>
      <w:r w:rsidRPr="00037AD5">
        <w:rPr>
          <w:rFonts w:ascii="Arial" w:eastAsia="Arial" w:hAnsi="Arial" w:cs="Arial"/>
          <w:color w:val="0E101A"/>
          <w:sz w:val="18"/>
          <w:szCs w:val="18"/>
          <w:lang w:val="en-US"/>
        </w:rPr>
        <w:t>: Foresight from reference [HUN24]: “</w:t>
      </w:r>
      <w:r w:rsidRPr="00037AD5">
        <w:rPr>
          <w:rFonts w:ascii="Arial" w:eastAsia="Arial" w:hAnsi="Arial" w:cs="Arial"/>
          <w:i/>
          <w:color w:val="0E101A"/>
          <w:sz w:val="18"/>
          <w:szCs w:val="18"/>
          <w:lang w:val="en-US"/>
        </w:rPr>
        <w:t>hydrodynamic transport for applications. Illustration of potential future applications of hydrodynamic electron flow: interconnects, rectifiers, and amplifiers</w:t>
      </w:r>
      <w:r w:rsidRPr="00037AD5">
        <w:rPr>
          <w:rFonts w:ascii="Arial" w:eastAsia="Arial" w:hAnsi="Arial" w:cs="Arial"/>
          <w:color w:val="0E101A"/>
          <w:sz w:val="18"/>
          <w:szCs w:val="18"/>
          <w:lang w:val="en-US"/>
        </w:rPr>
        <w:t xml:space="preserve">”. </w:t>
      </w:r>
    </w:p>
    <w:p w14:paraId="7927842B" w14:textId="77777777" w:rsidR="00134B9E" w:rsidRPr="00037AD5" w:rsidRDefault="00134B9E">
      <w:pPr>
        <w:spacing w:after="100" w:line="240" w:lineRule="auto"/>
        <w:jc w:val="both"/>
        <w:rPr>
          <w:rFonts w:ascii="Arial" w:eastAsia="Arial" w:hAnsi="Arial" w:cs="Arial"/>
          <w:lang w:val="en-US"/>
        </w:rPr>
      </w:pPr>
    </w:p>
    <w:p w14:paraId="7C064D05"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Electron fluids also enable the development of novel devices based on hydrodynamic behavior, with prospects for interconnects [STE22], rectifiers [HUN24], and amplifiers [HUI21]. We show a foresight from reference [HUN24] in Figure 10. It is exciting to explore new mechanisms in graphene, whose gapless nature keeps us from using it in most electronic designs. Finding alternatives would be the way to exploit its advantages [TWE24], from bidimensionality to high mobility or high-frequency response. The second device we propose uses a hydrodynamic non-linearity for regulators and switches [EST24b]. With the graphene industry projected to reach US$1.5 billion by 2027 [TWE24, SCH24], graphene and electron hydrodynamics can enhance the competitiveness of technology companies by enabling them to offer innovative products. In turn, this can stimulate economic growth by driving investment in research and development and generating high-value jobs in science and engineering fields. Countries that </w:t>
      </w:r>
      <w:r w:rsidRPr="00037AD5">
        <w:rPr>
          <w:rFonts w:ascii="Arial" w:eastAsia="Arial" w:hAnsi="Arial" w:cs="Arial"/>
          <w:b/>
          <w:lang w:val="en-US"/>
        </w:rPr>
        <w:t>lead in these technological applications</w:t>
      </w:r>
      <w:r w:rsidRPr="00037AD5">
        <w:rPr>
          <w:rFonts w:ascii="Arial" w:eastAsia="Arial" w:hAnsi="Arial" w:cs="Arial"/>
          <w:lang w:val="en-US"/>
        </w:rPr>
        <w:t xml:space="preserve"> may gain strategic advantages in the global technology landscape and economic policies.</w:t>
      </w:r>
    </w:p>
    <w:p w14:paraId="18C5AC22"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The consortium proposing this research project is in contact with various companies in the sector that are interested in developing new materials and electronic devices to advance more efficient technologies. In particular, the company </w:t>
      </w:r>
      <w:hyperlink r:id="rId33">
        <w:r w:rsidRPr="00037AD5">
          <w:rPr>
            <w:rFonts w:ascii="Arial" w:eastAsia="Arial" w:hAnsi="Arial" w:cs="Arial"/>
            <w:color w:val="1155CC"/>
            <w:u w:val="single"/>
            <w:lang w:val="en-US"/>
          </w:rPr>
          <w:t>LeapWave Technologies</w:t>
        </w:r>
      </w:hyperlink>
      <w:r w:rsidRPr="00037AD5">
        <w:rPr>
          <w:rFonts w:ascii="Arial" w:eastAsia="Arial" w:hAnsi="Arial" w:cs="Arial"/>
          <w:lang w:val="en-US"/>
        </w:rPr>
        <w:t>, headquartered in Leganés (Madrid), has expressed strong interest in the potential outcomes of this project in the field of THz technologies. A letter of support with a statement of interest from the company's CEO is included at the end of this proposal.</w:t>
      </w:r>
    </w:p>
    <w:p w14:paraId="72695CCE" w14:textId="77777777" w:rsidR="00134B9E" w:rsidRPr="00037AD5" w:rsidRDefault="00EC6124">
      <w:pPr>
        <w:spacing w:after="100" w:line="240" w:lineRule="auto"/>
        <w:jc w:val="both"/>
        <w:rPr>
          <w:rFonts w:ascii="Arial" w:eastAsia="Arial" w:hAnsi="Arial" w:cs="Arial"/>
          <w:lang w:val="en-US"/>
        </w:rPr>
      </w:pPr>
      <w:r w:rsidRPr="00037AD5">
        <w:rPr>
          <w:rFonts w:ascii="Arial" w:eastAsia="Arial" w:hAnsi="Arial" w:cs="Arial"/>
          <w:lang w:val="en-US"/>
        </w:rPr>
        <w:t xml:space="preserve">A crucial step in transferring laboratory results to the industrial setting is achieving product standardization. For this reason, we have contacted the Head of the Service of  DC&amp;Quantum Electrical Metrology at the </w:t>
      </w:r>
      <w:hyperlink r:id="rId34">
        <w:r w:rsidRPr="00037AD5">
          <w:rPr>
            <w:rFonts w:ascii="Arial" w:eastAsia="Arial" w:hAnsi="Arial" w:cs="Arial"/>
            <w:color w:val="1155CC"/>
            <w:u w:val="single"/>
            <w:lang w:val="en-US"/>
          </w:rPr>
          <w:t>Spanish Metrology Centre</w:t>
        </w:r>
      </w:hyperlink>
      <w:r w:rsidRPr="00037AD5">
        <w:rPr>
          <w:rFonts w:ascii="Arial" w:eastAsia="Arial" w:hAnsi="Arial" w:cs="Arial"/>
          <w:lang w:val="en-US"/>
        </w:rPr>
        <w:t>, to assist us in this task. We are attaching his letter of support for our proposal, in which he expresses his intention to collaborate with us in the technology transfer of the devices to be developed in this project. A letter of support with a statement of interest from the Head of the Service is included at the end of this proposal.</w:t>
      </w:r>
    </w:p>
    <w:p w14:paraId="4F1A3D7A" w14:textId="77777777" w:rsidR="00134B9E" w:rsidRPr="00037AD5" w:rsidRDefault="00134B9E">
      <w:pPr>
        <w:spacing w:after="100" w:line="240" w:lineRule="auto"/>
        <w:jc w:val="both"/>
        <w:rPr>
          <w:rFonts w:ascii="Arial" w:eastAsia="Arial" w:hAnsi="Arial" w:cs="Arial"/>
          <w:lang w:val="en-US"/>
        </w:rPr>
      </w:pPr>
    </w:p>
    <w:p w14:paraId="3CB547DD" w14:textId="77777777" w:rsidR="00134B9E" w:rsidRPr="00037AD5" w:rsidRDefault="00EC6124">
      <w:pPr>
        <w:pStyle w:val="Ttulo1"/>
        <w:spacing w:before="0" w:line="240" w:lineRule="auto"/>
        <w:rPr>
          <w:rFonts w:ascii="Arial" w:eastAsia="Arial" w:hAnsi="Arial" w:cs="Arial"/>
          <w:b/>
          <w:color w:val="000000"/>
          <w:sz w:val="22"/>
          <w:szCs w:val="22"/>
          <w:lang w:val="en-US"/>
        </w:rPr>
      </w:pPr>
      <w:r w:rsidRPr="00037AD5">
        <w:rPr>
          <w:rFonts w:ascii="Arial" w:eastAsia="Arial" w:hAnsi="Arial" w:cs="Arial"/>
          <w:b/>
          <w:color w:val="000000"/>
          <w:sz w:val="22"/>
          <w:szCs w:val="22"/>
          <w:lang w:val="en-US"/>
        </w:rPr>
        <w:t>9. Condiciones específicas para la ejecución de determinados proyectos – Specific conditions for the execution of certain projects.</w:t>
      </w:r>
    </w:p>
    <w:p w14:paraId="1192BB43" w14:textId="77777777" w:rsidR="00134B9E" w:rsidRPr="00037AD5" w:rsidRDefault="00134B9E">
      <w:pPr>
        <w:rPr>
          <w:rFonts w:ascii="Arial" w:eastAsia="Arial" w:hAnsi="Arial" w:cs="Arial"/>
          <w:lang w:val="en-US"/>
        </w:rPr>
      </w:pPr>
    </w:p>
    <w:p w14:paraId="4526A1E0" w14:textId="77777777" w:rsidR="00134B9E" w:rsidRPr="00037AD5" w:rsidRDefault="00EC6124">
      <w:pPr>
        <w:rPr>
          <w:rFonts w:ascii="Arial" w:eastAsia="Arial" w:hAnsi="Arial" w:cs="Arial"/>
          <w:lang w:val="en-US"/>
        </w:rPr>
      </w:pPr>
      <w:r w:rsidRPr="00037AD5">
        <w:rPr>
          <w:rFonts w:ascii="Arial" w:eastAsia="Arial" w:hAnsi="Arial" w:cs="Arial"/>
          <w:lang w:val="en-US"/>
        </w:rPr>
        <w:t>Not applicable.</w:t>
      </w:r>
    </w:p>
    <w:p w14:paraId="761CF27A" w14:textId="77777777" w:rsidR="00134B9E" w:rsidRPr="00037AD5" w:rsidRDefault="00134B9E">
      <w:pPr>
        <w:rPr>
          <w:rFonts w:ascii="Arial" w:eastAsia="Arial" w:hAnsi="Arial" w:cs="Arial"/>
          <w:lang w:val="en-US"/>
        </w:rPr>
      </w:pPr>
    </w:p>
    <w:p w14:paraId="4F8F25EF" w14:textId="77777777" w:rsidR="00134B9E" w:rsidRPr="00037AD5" w:rsidRDefault="00EC6124">
      <w:pPr>
        <w:spacing w:after="60" w:line="240" w:lineRule="auto"/>
        <w:jc w:val="both"/>
        <w:rPr>
          <w:rFonts w:ascii="Arial" w:eastAsia="Arial" w:hAnsi="Arial" w:cs="Arial"/>
          <w:b/>
          <w:i/>
          <w:lang w:val="en-US"/>
        </w:rPr>
      </w:pPr>
      <w:r w:rsidRPr="00037AD5">
        <w:rPr>
          <w:rFonts w:ascii="Arial" w:eastAsia="Arial" w:hAnsi="Arial" w:cs="Arial"/>
          <w:b/>
          <w:lang w:val="en-US"/>
        </w:rPr>
        <w:t>10. References</w:t>
      </w:r>
      <w:r>
        <w:rPr>
          <w:rFonts w:ascii="Arial" w:eastAsia="Arial" w:hAnsi="Arial" w:cs="Arial"/>
          <w:b/>
          <w:vertAlign w:val="superscript"/>
        </w:rPr>
        <w:footnoteReference w:id="3"/>
      </w:r>
    </w:p>
    <w:p w14:paraId="41AF2627" w14:textId="77777777" w:rsidR="00134B9E" w:rsidRPr="00037AD5" w:rsidRDefault="002645D8">
      <w:pPr>
        <w:widowControl w:val="0"/>
        <w:spacing w:after="0"/>
        <w:jc w:val="both"/>
        <w:rPr>
          <w:rFonts w:ascii="Arial" w:eastAsia="Arial" w:hAnsi="Arial" w:cs="Arial"/>
          <w:lang w:val="en-US"/>
        </w:rPr>
      </w:pPr>
      <w:hyperlink r:id="rId35">
        <w:r w:rsidR="00EC6124" w:rsidRPr="00037AD5">
          <w:rPr>
            <w:rFonts w:ascii="Arial" w:eastAsia="Arial" w:hAnsi="Arial" w:cs="Arial"/>
            <w:color w:val="0000FF"/>
            <w:u w:val="single"/>
            <w:lang w:val="en-US"/>
          </w:rPr>
          <w:t>[ABI24]</w:t>
        </w:r>
      </w:hyperlink>
      <w:r w:rsidR="00EC6124" w:rsidRPr="00037AD5">
        <w:rPr>
          <w:rFonts w:ascii="Arial" w:eastAsia="Arial" w:hAnsi="Arial" w:cs="Arial"/>
          <w:b/>
          <w:i/>
          <w:lang w:val="en-US"/>
        </w:rPr>
        <w:t xml:space="preserve">   </w:t>
      </w:r>
      <w:r w:rsidR="00EC6124" w:rsidRPr="00037AD5">
        <w:rPr>
          <w:rFonts w:ascii="Arial" w:eastAsia="Arial" w:hAnsi="Arial" w:cs="Arial"/>
          <w:lang w:val="en-US"/>
        </w:rPr>
        <w:t xml:space="preserve">E. Abidi </w:t>
      </w:r>
      <w:r w:rsidR="00EC6124" w:rsidRPr="00037AD5">
        <w:rPr>
          <w:rFonts w:ascii="Arial" w:eastAsia="Arial" w:hAnsi="Arial" w:cs="Arial"/>
          <w:i/>
          <w:lang w:val="en-US"/>
        </w:rPr>
        <w:t xml:space="preserve">et al. </w:t>
      </w:r>
      <w:r w:rsidR="00EC6124" w:rsidRPr="00037AD5">
        <w:rPr>
          <w:rFonts w:ascii="Arial" w:eastAsia="Arial" w:hAnsi="Arial" w:cs="Arial"/>
          <w:lang w:val="en-US"/>
        </w:rPr>
        <w:t xml:space="preserve">Nanomaterials </w:t>
      </w:r>
      <w:r w:rsidR="00EC6124" w:rsidRPr="00037AD5">
        <w:rPr>
          <w:rFonts w:ascii="Arial" w:eastAsia="Arial" w:hAnsi="Arial" w:cs="Arial"/>
          <w:b/>
          <w:lang w:val="en-US"/>
        </w:rPr>
        <w:t>14</w:t>
      </w:r>
      <w:r w:rsidR="00EC6124" w:rsidRPr="00037AD5">
        <w:rPr>
          <w:rFonts w:ascii="Arial" w:eastAsia="Arial" w:hAnsi="Arial" w:cs="Arial"/>
          <w:lang w:val="en-US"/>
        </w:rPr>
        <w:t>, 383 (2024).</w:t>
      </w:r>
    </w:p>
    <w:p w14:paraId="77578852" w14:textId="77777777" w:rsidR="00134B9E" w:rsidRPr="00037AD5" w:rsidRDefault="002645D8">
      <w:pPr>
        <w:widowControl w:val="0"/>
        <w:spacing w:after="0"/>
        <w:jc w:val="both"/>
        <w:rPr>
          <w:rFonts w:ascii="Arial" w:eastAsia="Arial" w:hAnsi="Arial" w:cs="Arial"/>
          <w:lang w:val="en-US"/>
        </w:rPr>
      </w:pPr>
      <w:hyperlink r:id="rId36">
        <w:r w:rsidR="00EC6124" w:rsidRPr="00037AD5">
          <w:rPr>
            <w:rFonts w:ascii="Arial" w:eastAsia="Arial" w:hAnsi="Arial" w:cs="Arial"/>
            <w:color w:val="1155CC"/>
            <w:u w:val="single"/>
            <w:lang w:val="en-US"/>
          </w:rPr>
          <w:t>[AHA22]</w:t>
        </w:r>
      </w:hyperlink>
      <w:r w:rsidR="00EC6124" w:rsidRPr="00037AD5">
        <w:rPr>
          <w:rFonts w:ascii="Arial" w:eastAsia="Arial" w:hAnsi="Arial" w:cs="Arial"/>
          <w:lang w:val="en-US"/>
        </w:rPr>
        <w:t xml:space="preserve"> A. Aharon-Steinberg </w:t>
      </w:r>
      <w:r w:rsidR="00EC6124" w:rsidRPr="00037AD5">
        <w:rPr>
          <w:rFonts w:ascii="Arial" w:eastAsia="Arial" w:hAnsi="Arial" w:cs="Arial"/>
          <w:i/>
          <w:lang w:val="en-US"/>
        </w:rPr>
        <w:t>et al.</w:t>
      </w:r>
      <w:r w:rsidR="00EC6124" w:rsidRPr="00037AD5">
        <w:rPr>
          <w:rFonts w:ascii="Arial" w:eastAsia="Arial" w:hAnsi="Arial" w:cs="Arial"/>
          <w:lang w:val="en-US"/>
        </w:rPr>
        <w:t xml:space="preserve"> Nature </w:t>
      </w:r>
      <w:r w:rsidR="00EC6124" w:rsidRPr="00037AD5">
        <w:rPr>
          <w:rFonts w:ascii="Arial" w:eastAsia="Arial" w:hAnsi="Arial" w:cs="Arial"/>
          <w:b/>
          <w:lang w:val="en-US"/>
        </w:rPr>
        <w:t>607</w:t>
      </w:r>
      <w:r w:rsidR="00EC6124" w:rsidRPr="00037AD5">
        <w:rPr>
          <w:rFonts w:ascii="Arial" w:eastAsia="Arial" w:hAnsi="Arial" w:cs="Arial"/>
          <w:lang w:val="en-US"/>
        </w:rPr>
        <w:t>, 74 (2022).</w:t>
      </w:r>
    </w:p>
    <w:p w14:paraId="7415B00A" w14:textId="77777777" w:rsidR="00134B9E" w:rsidRPr="00037AD5" w:rsidRDefault="002645D8">
      <w:pPr>
        <w:widowControl w:val="0"/>
        <w:spacing w:after="0"/>
        <w:jc w:val="both"/>
        <w:rPr>
          <w:rFonts w:ascii="Arial" w:eastAsia="Arial" w:hAnsi="Arial" w:cs="Arial"/>
          <w:lang w:val="en-US"/>
        </w:rPr>
      </w:pPr>
      <w:hyperlink r:id="rId37">
        <w:r w:rsidR="00EC6124" w:rsidRPr="00037AD5">
          <w:rPr>
            <w:rFonts w:ascii="Arial" w:eastAsia="Arial" w:hAnsi="Arial" w:cs="Arial"/>
            <w:color w:val="1155CC"/>
            <w:u w:val="single"/>
            <w:lang w:val="en-US"/>
          </w:rPr>
          <w:t>[AKI19]</w:t>
        </w:r>
      </w:hyperlink>
      <w:r w:rsidR="00EC6124" w:rsidRPr="00037AD5">
        <w:rPr>
          <w:rFonts w:ascii="Arial" w:eastAsia="Arial" w:hAnsi="Arial" w:cs="Arial"/>
          <w:lang w:val="en-US"/>
        </w:rPr>
        <w:t xml:space="preserve"> D. Akinwande </w:t>
      </w:r>
      <w:r w:rsidR="00EC6124" w:rsidRPr="00037AD5">
        <w:rPr>
          <w:rFonts w:ascii="Arial" w:eastAsia="Arial" w:hAnsi="Arial" w:cs="Arial"/>
          <w:i/>
          <w:lang w:val="en-US"/>
        </w:rPr>
        <w:t xml:space="preserve">et al. </w:t>
      </w:r>
      <w:r w:rsidR="00EC6124" w:rsidRPr="00037AD5">
        <w:rPr>
          <w:rFonts w:ascii="Arial" w:eastAsia="Arial" w:hAnsi="Arial" w:cs="Arial"/>
          <w:lang w:val="en-US"/>
        </w:rPr>
        <w:t xml:space="preserve">Nature </w:t>
      </w:r>
      <w:r w:rsidR="00EC6124" w:rsidRPr="00037AD5">
        <w:rPr>
          <w:rFonts w:ascii="Arial" w:eastAsia="Arial" w:hAnsi="Arial" w:cs="Arial"/>
          <w:b/>
          <w:lang w:val="en-US"/>
        </w:rPr>
        <w:t>573</w:t>
      </w:r>
      <w:r w:rsidR="00EC6124" w:rsidRPr="00037AD5">
        <w:rPr>
          <w:rFonts w:ascii="Arial" w:eastAsia="Arial" w:hAnsi="Arial" w:cs="Arial"/>
          <w:lang w:val="en-US"/>
        </w:rPr>
        <w:t xml:space="preserve"> 507 (2019)</w:t>
      </w:r>
    </w:p>
    <w:p w14:paraId="7F0F7261" w14:textId="77777777" w:rsidR="00134B9E" w:rsidRPr="00037AD5" w:rsidRDefault="002645D8">
      <w:pPr>
        <w:widowControl w:val="0"/>
        <w:spacing w:after="0" w:line="240" w:lineRule="auto"/>
        <w:jc w:val="both"/>
        <w:rPr>
          <w:rFonts w:ascii="Arial" w:eastAsia="Arial" w:hAnsi="Arial" w:cs="Arial"/>
          <w:vertAlign w:val="subscript"/>
          <w:lang w:val="en-US"/>
        </w:rPr>
      </w:pPr>
      <w:hyperlink r:id="rId38">
        <w:r w:rsidR="00EC6124" w:rsidRPr="00037AD5">
          <w:rPr>
            <w:rFonts w:ascii="Arial" w:eastAsia="Arial" w:hAnsi="Arial" w:cs="Arial"/>
            <w:color w:val="1155CC"/>
            <w:u w:val="single"/>
            <w:lang w:val="en-US"/>
          </w:rPr>
          <w:t>[ASG21</w:t>
        </w:r>
      </w:hyperlink>
      <w:r w:rsidR="00EC6124" w:rsidRPr="00037AD5">
        <w:rPr>
          <w:rFonts w:ascii="Arial" w:eastAsia="Arial" w:hAnsi="Arial" w:cs="Arial"/>
          <w:lang w:val="en-US"/>
        </w:rPr>
        <w:t xml:space="preserve">] M. Asgari </w:t>
      </w:r>
      <w:r w:rsidR="00EC6124" w:rsidRPr="00037AD5">
        <w:rPr>
          <w:rFonts w:ascii="Arial" w:eastAsia="Arial" w:hAnsi="Arial" w:cs="Arial"/>
          <w:i/>
          <w:lang w:val="en-US"/>
        </w:rPr>
        <w:t>et al.</w:t>
      </w:r>
      <w:r w:rsidR="00EC6124" w:rsidRPr="00037AD5">
        <w:rPr>
          <w:rFonts w:ascii="Arial" w:eastAsia="Arial" w:hAnsi="Arial" w:cs="Arial"/>
          <w:lang w:val="en-US"/>
        </w:rPr>
        <w:t xml:space="preserve"> ​​Appl. Phys. Lett. </w:t>
      </w:r>
      <w:r w:rsidR="00EC6124" w:rsidRPr="00037AD5">
        <w:rPr>
          <w:rFonts w:ascii="Arial" w:eastAsia="Arial" w:hAnsi="Arial" w:cs="Arial"/>
          <w:b/>
          <w:lang w:val="en-US"/>
        </w:rPr>
        <w:t>121</w:t>
      </w:r>
      <w:r w:rsidR="00EC6124" w:rsidRPr="00037AD5">
        <w:rPr>
          <w:rFonts w:ascii="Arial" w:eastAsia="Arial" w:hAnsi="Arial" w:cs="Arial"/>
          <w:lang w:val="en-US"/>
        </w:rPr>
        <w:t xml:space="preserve"> 031103 (2022).</w:t>
      </w:r>
    </w:p>
    <w:p w14:paraId="0EA3F218" w14:textId="77777777" w:rsidR="00134B9E" w:rsidRPr="00037AD5" w:rsidRDefault="002645D8">
      <w:pPr>
        <w:widowControl w:val="0"/>
        <w:spacing w:after="0" w:line="240" w:lineRule="auto"/>
        <w:jc w:val="both"/>
        <w:rPr>
          <w:rFonts w:ascii="Arial" w:eastAsia="Arial" w:hAnsi="Arial" w:cs="Arial"/>
          <w:lang w:val="en-US"/>
        </w:rPr>
      </w:pPr>
      <w:hyperlink r:id="rId39">
        <w:r w:rsidR="00EC6124" w:rsidRPr="00037AD5">
          <w:rPr>
            <w:rFonts w:ascii="Arial" w:eastAsia="Arial" w:hAnsi="Arial" w:cs="Arial"/>
            <w:color w:val="1155CC"/>
            <w:u w:val="single"/>
            <w:lang w:val="en-US"/>
          </w:rPr>
          <w:t xml:space="preserve">[BAN16] </w:t>
        </w:r>
      </w:hyperlink>
      <w:r w:rsidR="00EC6124" w:rsidRPr="00037AD5">
        <w:rPr>
          <w:lang w:val="en-US"/>
        </w:rPr>
        <w:t xml:space="preserve"> </w:t>
      </w:r>
      <w:r w:rsidR="00EC6124" w:rsidRPr="00037AD5">
        <w:rPr>
          <w:rFonts w:ascii="Arial" w:eastAsia="Arial" w:hAnsi="Arial" w:cs="Arial"/>
          <w:lang w:val="en-US"/>
        </w:rPr>
        <w:t xml:space="preserve">D. A. Bandurin </w:t>
      </w:r>
      <w:r w:rsidR="00EC6124" w:rsidRPr="00037AD5">
        <w:rPr>
          <w:rFonts w:ascii="Arial" w:eastAsia="Arial" w:hAnsi="Arial" w:cs="Arial"/>
          <w:i/>
          <w:lang w:val="en-US"/>
        </w:rPr>
        <w:t>et al</w:t>
      </w:r>
      <w:r w:rsidR="00EC6124" w:rsidRPr="00037AD5">
        <w:rPr>
          <w:rFonts w:ascii="Arial" w:eastAsia="Arial" w:hAnsi="Arial" w:cs="Arial"/>
          <w:lang w:val="en-US"/>
        </w:rPr>
        <w:t>. Science</w:t>
      </w:r>
      <w:r w:rsidR="00EC6124" w:rsidRPr="00037AD5">
        <w:rPr>
          <w:rFonts w:ascii="Arial" w:eastAsia="Arial" w:hAnsi="Arial" w:cs="Arial"/>
          <w:b/>
          <w:lang w:val="en-US"/>
        </w:rPr>
        <w:t xml:space="preserve"> 351</w:t>
      </w:r>
      <w:r w:rsidR="00EC6124" w:rsidRPr="00037AD5">
        <w:rPr>
          <w:rFonts w:ascii="Arial" w:eastAsia="Arial" w:hAnsi="Arial" w:cs="Arial"/>
          <w:lang w:val="en-US"/>
        </w:rPr>
        <w:t>, 1055 (2016).</w:t>
      </w:r>
    </w:p>
    <w:p w14:paraId="428B4A20" w14:textId="77777777" w:rsidR="00134B9E" w:rsidRPr="00037AD5" w:rsidRDefault="002645D8">
      <w:pPr>
        <w:widowControl w:val="0"/>
        <w:spacing w:after="0" w:line="240" w:lineRule="auto"/>
        <w:jc w:val="both"/>
        <w:rPr>
          <w:rFonts w:ascii="Arial" w:eastAsia="Arial" w:hAnsi="Arial" w:cs="Arial"/>
          <w:lang w:val="en-US"/>
        </w:rPr>
      </w:pPr>
      <w:hyperlink r:id="rId40">
        <w:r w:rsidR="00EC6124" w:rsidRPr="00037AD5">
          <w:rPr>
            <w:rFonts w:ascii="Arial" w:eastAsia="Arial" w:hAnsi="Arial" w:cs="Arial"/>
            <w:color w:val="1155CC"/>
            <w:u w:val="single"/>
            <w:lang w:val="en-US"/>
          </w:rPr>
          <w:t>[BAR23]</w:t>
        </w:r>
      </w:hyperlink>
      <w:r w:rsidR="00EC6124" w:rsidRPr="00037AD5">
        <w:rPr>
          <w:rFonts w:ascii="Arial" w:eastAsia="Arial" w:hAnsi="Arial" w:cs="Arial"/>
          <w:lang w:val="en-US"/>
        </w:rPr>
        <w:t xml:space="preserve"> D. Barcons-Ruiz </w:t>
      </w:r>
      <w:r w:rsidR="00EC6124" w:rsidRPr="00037AD5">
        <w:rPr>
          <w:rFonts w:ascii="Arial" w:eastAsia="Arial" w:hAnsi="Arial" w:cs="Arial"/>
          <w:i/>
          <w:lang w:val="en-US"/>
        </w:rPr>
        <w:t>et al.</w:t>
      </w:r>
      <w:r w:rsidR="00EC6124" w:rsidRPr="00037AD5">
        <w:rPr>
          <w:rFonts w:ascii="Arial" w:eastAsia="Arial" w:hAnsi="Arial" w:cs="Arial"/>
          <w:lang w:val="en-US"/>
        </w:rPr>
        <w:t xml:space="preserve"> Science Adv. </w:t>
      </w:r>
      <w:r w:rsidR="00EC6124" w:rsidRPr="00037AD5">
        <w:rPr>
          <w:rFonts w:ascii="Arial" w:eastAsia="Arial" w:hAnsi="Arial" w:cs="Arial"/>
          <w:b/>
          <w:lang w:val="en-US"/>
        </w:rPr>
        <w:t>9</w:t>
      </w:r>
      <w:r w:rsidR="00EC6124" w:rsidRPr="00037AD5">
        <w:rPr>
          <w:rFonts w:ascii="Arial" w:eastAsia="Arial" w:hAnsi="Arial" w:cs="Arial"/>
          <w:lang w:val="en-US"/>
        </w:rPr>
        <w:t>, 39 (2023).</w:t>
      </w:r>
    </w:p>
    <w:p w14:paraId="74A78B6F" w14:textId="77777777" w:rsidR="00134B9E" w:rsidRPr="00037AD5" w:rsidRDefault="002645D8">
      <w:pPr>
        <w:widowControl w:val="0"/>
        <w:spacing w:after="0" w:line="240" w:lineRule="auto"/>
        <w:jc w:val="both"/>
        <w:rPr>
          <w:rFonts w:ascii="Arial" w:eastAsia="Arial" w:hAnsi="Arial" w:cs="Arial"/>
          <w:lang w:val="en-US"/>
        </w:rPr>
      </w:pPr>
      <w:hyperlink r:id="rId41">
        <w:r w:rsidR="00EC6124" w:rsidRPr="00037AD5">
          <w:rPr>
            <w:rFonts w:ascii="Arial" w:eastAsia="Arial" w:hAnsi="Arial" w:cs="Arial"/>
            <w:color w:val="1155CC"/>
            <w:u w:val="single"/>
            <w:lang w:val="en-US"/>
          </w:rPr>
          <w:t>[BER19]</w:t>
        </w:r>
      </w:hyperlink>
      <w:r w:rsidR="00EC6124" w:rsidRPr="00037AD5">
        <w:rPr>
          <w:rFonts w:ascii="Arial" w:eastAsia="Arial" w:hAnsi="Arial" w:cs="Arial"/>
          <w:lang w:val="en-US"/>
        </w:rPr>
        <w:t xml:space="preserve"> A. I. Berdyugin </w:t>
      </w:r>
      <w:r w:rsidR="00EC6124" w:rsidRPr="00037AD5">
        <w:rPr>
          <w:rFonts w:ascii="Arial" w:eastAsia="Arial" w:hAnsi="Arial" w:cs="Arial"/>
          <w:i/>
          <w:lang w:val="en-US"/>
        </w:rPr>
        <w:t>et al</w:t>
      </w:r>
      <w:r w:rsidR="00EC6124" w:rsidRPr="00037AD5">
        <w:rPr>
          <w:rFonts w:ascii="Arial" w:eastAsia="Arial" w:hAnsi="Arial" w:cs="Arial"/>
          <w:lang w:val="en-US"/>
        </w:rPr>
        <w:t xml:space="preserve">. Science </w:t>
      </w:r>
      <w:r w:rsidR="00EC6124" w:rsidRPr="00037AD5">
        <w:rPr>
          <w:rFonts w:ascii="Arial" w:eastAsia="Arial" w:hAnsi="Arial" w:cs="Arial"/>
          <w:b/>
          <w:lang w:val="en-US"/>
        </w:rPr>
        <w:t>364</w:t>
      </w:r>
      <w:r w:rsidR="00EC6124" w:rsidRPr="00037AD5">
        <w:rPr>
          <w:rFonts w:ascii="Arial" w:eastAsia="Arial" w:hAnsi="Arial" w:cs="Arial"/>
          <w:lang w:val="en-US"/>
        </w:rPr>
        <w:t>, 162 (2019).</w:t>
      </w:r>
    </w:p>
    <w:p w14:paraId="5A9D0B0C" w14:textId="77777777" w:rsidR="00134B9E" w:rsidRPr="00037AD5" w:rsidRDefault="002645D8">
      <w:pPr>
        <w:widowControl w:val="0"/>
        <w:spacing w:after="0" w:line="240" w:lineRule="auto"/>
        <w:jc w:val="both"/>
        <w:rPr>
          <w:rFonts w:ascii="Arial" w:eastAsia="Arial" w:hAnsi="Arial" w:cs="Arial"/>
          <w:lang w:val="en-US"/>
        </w:rPr>
      </w:pPr>
      <w:hyperlink r:id="rId42">
        <w:r w:rsidR="00EC6124" w:rsidRPr="00037AD5">
          <w:rPr>
            <w:rFonts w:ascii="Arial" w:eastAsia="Arial" w:hAnsi="Arial" w:cs="Arial"/>
            <w:color w:val="1155CC"/>
            <w:u w:val="single"/>
            <w:lang w:val="en-US"/>
          </w:rPr>
          <w:t>[BUC25]</w:t>
        </w:r>
      </w:hyperlink>
      <w:r w:rsidR="00EC6124" w:rsidRPr="00037AD5">
        <w:rPr>
          <w:rFonts w:ascii="Arial" w:eastAsia="Arial" w:hAnsi="Arial" w:cs="Arial"/>
          <w:lang w:val="en-US"/>
        </w:rPr>
        <w:t xml:space="preserve"> M. Buchanan, Focus in Physics (2025).</w:t>
      </w:r>
    </w:p>
    <w:p w14:paraId="55BDB096" w14:textId="77777777" w:rsidR="00134B9E" w:rsidRPr="00037AD5" w:rsidRDefault="002645D8">
      <w:pPr>
        <w:widowControl w:val="0"/>
        <w:spacing w:after="0"/>
        <w:jc w:val="both"/>
        <w:rPr>
          <w:rFonts w:ascii="Arial" w:eastAsia="Arial" w:hAnsi="Arial" w:cs="Arial"/>
          <w:lang w:val="en-US"/>
        </w:rPr>
      </w:pPr>
      <w:hyperlink r:id="rId43">
        <w:r w:rsidR="00EC6124">
          <w:rPr>
            <w:rFonts w:ascii="Arial" w:eastAsia="Arial" w:hAnsi="Arial" w:cs="Arial"/>
            <w:color w:val="0000FF"/>
            <w:u w:val="single"/>
          </w:rPr>
          <w:t>[CAR24]</w:t>
        </w:r>
      </w:hyperlink>
      <w:r w:rsidR="00EC6124">
        <w:rPr>
          <w:rFonts w:ascii="Arial" w:eastAsia="Arial" w:hAnsi="Arial" w:cs="Arial"/>
        </w:rPr>
        <w:t xml:space="preserve"> J.M. Caridad </w:t>
      </w:r>
      <w:r w:rsidR="00EC6124">
        <w:rPr>
          <w:rFonts w:ascii="Arial" w:eastAsia="Arial" w:hAnsi="Arial" w:cs="Arial"/>
          <w:i/>
        </w:rPr>
        <w:t>et al.</w:t>
      </w:r>
      <w:r w:rsidR="00EC6124">
        <w:rPr>
          <w:rFonts w:ascii="Arial" w:eastAsia="Arial" w:hAnsi="Arial" w:cs="Arial"/>
        </w:rPr>
        <w:t xml:space="preserve"> </w:t>
      </w:r>
      <w:r w:rsidR="00EC6124" w:rsidRPr="00037AD5">
        <w:rPr>
          <w:rFonts w:ascii="Arial" w:eastAsia="Arial" w:hAnsi="Arial" w:cs="Arial"/>
          <w:lang w:val="en-US"/>
        </w:rPr>
        <w:t xml:space="preserve">Nano Lett. </w:t>
      </w:r>
      <w:r w:rsidR="00EC6124" w:rsidRPr="00037AD5">
        <w:rPr>
          <w:rFonts w:ascii="Arial" w:eastAsia="Arial" w:hAnsi="Arial" w:cs="Arial"/>
          <w:b/>
          <w:lang w:val="en-US"/>
        </w:rPr>
        <w:t>24</w:t>
      </w:r>
      <w:r w:rsidR="00EC6124" w:rsidRPr="00037AD5">
        <w:rPr>
          <w:rFonts w:ascii="Arial" w:eastAsia="Arial" w:hAnsi="Arial" w:cs="Arial"/>
          <w:lang w:val="en-US"/>
        </w:rPr>
        <w:t>, 935 (2024).</w:t>
      </w:r>
    </w:p>
    <w:p w14:paraId="692C538A" w14:textId="77777777" w:rsidR="00134B9E" w:rsidRPr="00037AD5" w:rsidRDefault="002645D8">
      <w:pPr>
        <w:widowControl w:val="0"/>
        <w:spacing w:after="0" w:line="240" w:lineRule="auto"/>
        <w:jc w:val="both"/>
        <w:rPr>
          <w:rFonts w:ascii="Arial" w:eastAsia="Arial" w:hAnsi="Arial" w:cs="Arial"/>
          <w:lang w:val="en-US"/>
        </w:rPr>
      </w:pPr>
      <w:hyperlink r:id="rId44">
        <w:r w:rsidR="00EC6124" w:rsidRPr="00037AD5">
          <w:rPr>
            <w:rFonts w:ascii="Arial" w:eastAsia="Arial" w:hAnsi="Arial" w:cs="Arial"/>
            <w:color w:val="1155CC"/>
            <w:u w:val="single"/>
            <w:lang w:val="en-US"/>
          </w:rPr>
          <w:t>[CLE19]</w:t>
        </w:r>
      </w:hyperlink>
      <w:r w:rsidR="00EC6124" w:rsidRPr="00037AD5">
        <w:rPr>
          <w:rFonts w:ascii="Arial" w:eastAsia="Arial" w:hAnsi="Arial" w:cs="Arial"/>
          <w:lang w:val="en-US"/>
        </w:rPr>
        <w:t xml:space="preserve"> V. Clericò </w:t>
      </w:r>
      <w:r w:rsidR="00EC6124" w:rsidRPr="00037AD5">
        <w:rPr>
          <w:rFonts w:ascii="Arial" w:eastAsia="Arial" w:hAnsi="Arial" w:cs="Arial"/>
          <w:i/>
          <w:lang w:val="en-US"/>
        </w:rPr>
        <w:t>et al</w:t>
      </w:r>
      <w:r w:rsidR="00EC6124" w:rsidRPr="00037AD5">
        <w:rPr>
          <w:rFonts w:ascii="Arial" w:eastAsia="Arial" w:hAnsi="Arial" w:cs="Arial"/>
          <w:lang w:val="en-US"/>
        </w:rPr>
        <w:t xml:space="preserve">. Sci. Rep. </w:t>
      </w:r>
      <w:r w:rsidR="00EC6124" w:rsidRPr="00037AD5">
        <w:rPr>
          <w:rFonts w:ascii="Arial" w:eastAsia="Arial" w:hAnsi="Arial" w:cs="Arial"/>
          <w:b/>
          <w:lang w:val="en-US"/>
        </w:rPr>
        <w:t>9</w:t>
      </w:r>
      <w:r w:rsidR="00EC6124" w:rsidRPr="00037AD5">
        <w:rPr>
          <w:rFonts w:ascii="Arial" w:eastAsia="Arial" w:hAnsi="Arial" w:cs="Arial"/>
          <w:lang w:val="en-US"/>
        </w:rPr>
        <w:t>, 13572 (2019).</w:t>
      </w:r>
    </w:p>
    <w:p w14:paraId="648DC84C" w14:textId="77777777" w:rsidR="00134B9E" w:rsidRPr="00037AD5" w:rsidRDefault="002645D8">
      <w:pPr>
        <w:widowControl w:val="0"/>
        <w:spacing w:after="0" w:line="240" w:lineRule="auto"/>
        <w:jc w:val="both"/>
        <w:rPr>
          <w:rFonts w:ascii="Arial" w:eastAsia="Arial" w:hAnsi="Arial" w:cs="Arial"/>
          <w:lang w:val="en-US"/>
        </w:rPr>
      </w:pPr>
      <w:hyperlink r:id="rId45">
        <w:r w:rsidR="00EC6124" w:rsidRPr="00037AD5">
          <w:rPr>
            <w:rFonts w:ascii="Arial" w:eastAsia="Arial" w:hAnsi="Arial" w:cs="Arial"/>
            <w:color w:val="1155CC"/>
            <w:u w:val="single"/>
            <w:lang w:val="en-US"/>
          </w:rPr>
          <w:t>[DEL22]</w:t>
        </w:r>
      </w:hyperlink>
      <w:r w:rsidR="00EC6124" w:rsidRPr="00037AD5">
        <w:rPr>
          <w:rFonts w:ascii="Arial" w:eastAsia="Arial" w:hAnsi="Arial" w:cs="Arial"/>
          <w:lang w:val="en-US"/>
        </w:rPr>
        <w:t xml:space="preserve"> J. A. Delgado-Notario </w:t>
      </w:r>
      <w:r w:rsidR="00EC6124" w:rsidRPr="00037AD5">
        <w:rPr>
          <w:rFonts w:ascii="Arial" w:eastAsia="Arial" w:hAnsi="Arial" w:cs="Arial"/>
          <w:i/>
          <w:lang w:val="en-US"/>
        </w:rPr>
        <w:t xml:space="preserve">et al. </w:t>
      </w:r>
      <w:r w:rsidR="00EC6124" w:rsidRPr="00037AD5">
        <w:rPr>
          <w:rFonts w:ascii="Arial" w:eastAsia="Arial" w:hAnsi="Arial" w:cs="Arial"/>
          <w:lang w:val="en-US"/>
        </w:rPr>
        <w:t xml:space="preserve">Nanophotonics </w:t>
      </w:r>
      <w:r w:rsidR="00EC6124" w:rsidRPr="00037AD5">
        <w:rPr>
          <w:rFonts w:ascii="Arial" w:eastAsia="Arial" w:hAnsi="Arial" w:cs="Arial"/>
          <w:b/>
          <w:lang w:val="en-US"/>
        </w:rPr>
        <w:t>11</w:t>
      </w:r>
      <w:r w:rsidR="00EC6124" w:rsidRPr="00037AD5">
        <w:rPr>
          <w:rFonts w:ascii="Arial" w:eastAsia="Arial" w:hAnsi="Arial" w:cs="Arial"/>
          <w:lang w:val="en-US"/>
        </w:rPr>
        <w:t xml:space="preserve">, 519 (2022).   </w:t>
      </w:r>
    </w:p>
    <w:p w14:paraId="2E49EC6B" w14:textId="77777777" w:rsidR="00134B9E" w:rsidRPr="00037AD5" w:rsidRDefault="002645D8">
      <w:pPr>
        <w:widowControl w:val="0"/>
        <w:spacing w:after="0" w:line="240" w:lineRule="auto"/>
        <w:jc w:val="both"/>
        <w:rPr>
          <w:rFonts w:ascii="Arial" w:eastAsia="Arial" w:hAnsi="Arial" w:cs="Arial"/>
          <w:lang w:val="en-US"/>
        </w:rPr>
      </w:pPr>
      <w:hyperlink r:id="rId46">
        <w:r w:rsidR="00EC6124" w:rsidRPr="00037AD5">
          <w:rPr>
            <w:rFonts w:ascii="Arial" w:eastAsia="Arial" w:hAnsi="Arial" w:cs="Arial"/>
            <w:color w:val="1155CC"/>
            <w:u w:val="single"/>
            <w:lang w:val="en-US"/>
          </w:rPr>
          <w:t>[DYA93]</w:t>
        </w:r>
      </w:hyperlink>
      <w:r w:rsidR="00EC6124" w:rsidRPr="00037AD5">
        <w:rPr>
          <w:rFonts w:ascii="Arial" w:eastAsia="Arial" w:hAnsi="Arial" w:cs="Arial"/>
          <w:lang w:val="en-US"/>
        </w:rPr>
        <w:t xml:space="preserve"> M. Dyakonov and M. Shur. Phys. Rev. Lett. </w:t>
      </w:r>
      <w:r w:rsidR="00EC6124" w:rsidRPr="00037AD5">
        <w:rPr>
          <w:rFonts w:ascii="Arial" w:eastAsia="Arial" w:hAnsi="Arial" w:cs="Arial"/>
          <w:b/>
          <w:lang w:val="en-US"/>
        </w:rPr>
        <w:t>71</w:t>
      </w:r>
      <w:r w:rsidR="00EC6124" w:rsidRPr="00037AD5">
        <w:rPr>
          <w:rFonts w:ascii="Arial" w:eastAsia="Arial" w:hAnsi="Arial" w:cs="Arial"/>
          <w:lang w:val="en-US"/>
        </w:rPr>
        <w:t>, 2465 (1993).</w:t>
      </w:r>
    </w:p>
    <w:p w14:paraId="64FF926C" w14:textId="77777777" w:rsidR="00134B9E" w:rsidRPr="00037AD5" w:rsidRDefault="002645D8">
      <w:pPr>
        <w:widowControl w:val="0"/>
        <w:spacing w:after="0" w:line="240" w:lineRule="auto"/>
        <w:jc w:val="both"/>
        <w:rPr>
          <w:rFonts w:ascii="Arial" w:eastAsia="Arial" w:hAnsi="Arial" w:cs="Arial"/>
          <w:lang w:val="en-US"/>
        </w:rPr>
      </w:pPr>
      <w:hyperlink r:id="rId47">
        <w:r w:rsidR="00EC6124" w:rsidRPr="00037AD5">
          <w:rPr>
            <w:rFonts w:ascii="Arial" w:eastAsia="Arial" w:hAnsi="Arial" w:cs="Arial"/>
            <w:color w:val="1155CC"/>
            <w:u w:val="single"/>
            <w:lang w:val="en-US"/>
          </w:rPr>
          <w:t>[EST24a]</w:t>
        </w:r>
      </w:hyperlink>
      <w:r w:rsidR="00EC6124" w:rsidRPr="00037AD5">
        <w:rPr>
          <w:rFonts w:ascii="Arial" w:eastAsia="Arial" w:hAnsi="Arial" w:cs="Arial"/>
          <w:lang w:val="en-US"/>
        </w:rPr>
        <w:t xml:space="preserve"> J. Estrada-Álvarez </w:t>
      </w:r>
      <w:r w:rsidR="00EC6124" w:rsidRPr="00037AD5">
        <w:rPr>
          <w:rFonts w:ascii="Arial" w:eastAsia="Arial" w:hAnsi="Arial" w:cs="Arial"/>
          <w:i/>
          <w:lang w:val="en-US"/>
        </w:rPr>
        <w:t>et al</w:t>
      </w:r>
      <w:r w:rsidR="00EC6124" w:rsidRPr="00037AD5">
        <w:rPr>
          <w:rFonts w:ascii="Arial" w:eastAsia="Arial" w:hAnsi="Arial" w:cs="Arial"/>
          <w:lang w:val="en-US"/>
        </w:rPr>
        <w:t xml:space="preserve">. Commun. Phys. </w:t>
      </w:r>
      <w:r w:rsidR="00EC6124" w:rsidRPr="00037AD5">
        <w:rPr>
          <w:rFonts w:ascii="Arial" w:eastAsia="Arial" w:hAnsi="Arial" w:cs="Arial"/>
          <w:b/>
          <w:lang w:val="en-US"/>
        </w:rPr>
        <w:t>7</w:t>
      </w:r>
      <w:r w:rsidR="00EC6124" w:rsidRPr="00037AD5">
        <w:rPr>
          <w:rFonts w:ascii="Arial" w:eastAsia="Arial" w:hAnsi="Arial" w:cs="Arial"/>
          <w:lang w:val="en-US"/>
        </w:rPr>
        <w:t>, 138 (2024).</w:t>
      </w:r>
    </w:p>
    <w:p w14:paraId="3BA11300" w14:textId="77777777" w:rsidR="00134B9E" w:rsidRDefault="002645D8">
      <w:pPr>
        <w:widowControl w:val="0"/>
        <w:spacing w:after="0" w:line="240" w:lineRule="auto"/>
        <w:jc w:val="both"/>
        <w:rPr>
          <w:rFonts w:ascii="Arial" w:eastAsia="Arial" w:hAnsi="Arial" w:cs="Arial"/>
        </w:rPr>
      </w:pPr>
      <w:hyperlink r:id="rId48">
        <w:r w:rsidR="00EC6124">
          <w:rPr>
            <w:rFonts w:ascii="Arial" w:eastAsia="Arial" w:hAnsi="Arial" w:cs="Arial"/>
            <w:color w:val="1155CC"/>
            <w:u w:val="single"/>
          </w:rPr>
          <w:t>[EST24b]</w:t>
        </w:r>
      </w:hyperlink>
      <w:r w:rsidR="00EC6124">
        <w:rPr>
          <w:rFonts w:ascii="Arial" w:eastAsia="Arial" w:hAnsi="Arial" w:cs="Arial"/>
        </w:rPr>
        <w:t xml:space="preserve"> J. Estrada-Álvarez </w:t>
      </w:r>
      <w:r w:rsidR="00EC6124">
        <w:rPr>
          <w:rFonts w:ascii="Arial" w:eastAsia="Arial" w:hAnsi="Arial" w:cs="Arial"/>
          <w:i/>
        </w:rPr>
        <w:t>et al</w:t>
      </w:r>
      <w:r w:rsidR="00EC6124">
        <w:rPr>
          <w:rFonts w:ascii="Arial" w:eastAsia="Arial" w:hAnsi="Arial" w:cs="Arial"/>
        </w:rPr>
        <w:t xml:space="preserve">. 2D Materials </w:t>
      </w:r>
      <w:r w:rsidR="00EC6124">
        <w:rPr>
          <w:rFonts w:ascii="Arial" w:eastAsia="Arial" w:hAnsi="Arial" w:cs="Arial"/>
          <w:b/>
        </w:rPr>
        <w:t>12</w:t>
      </w:r>
      <w:r w:rsidR="00EC6124">
        <w:rPr>
          <w:rFonts w:ascii="Arial" w:eastAsia="Arial" w:hAnsi="Arial" w:cs="Arial"/>
        </w:rPr>
        <w:t>, 015012 (2024).</w:t>
      </w:r>
    </w:p>
    <w:p w14:paraId="2D62B1B4" w14:textId="77777777" w:rsidR="00134B9E" w:rsidRDefault="002645D8">
      <w:pPr>
        <w:widowControl w:val="0"/>
        <w:spacing w:after="0" w:line="240" w:lineRule="auto"/>
        <w:jc w:val="both"/>
        <w:rPr>
          <w:rFonts w:ascii="Arial" w:eastAsia="Arial" w:hAnsi="Arial" w:cs="Arial"/>
        </w:rPr>
      </w:pPr>
      <w:hyperlink r:id="rId49">
        <w:r w:rsidR="00EC6124">
          <w:rPr>
            <w:rFonts w:ascii="Arial" w:eastAsia="Arial" w:hAnsi="Arial" w:cs="Arial"/>
            <w:color w:val="1155CC"/>
            <w:u w:val="single"/>
          </w:rPr>
          <w:t>[EST24c]</w:t>
        </w:r>
      </w:hyperlink>
      <w:r w:rsidR="00EC6124">
        <w:rPr>
          <w:rFonts w:ascii="Arial" w:eastAsia="Arial" w:hAnsi="Arial" w:cs="Arial"/>
        </w:rPr>
        <w:t xml:space="preserve"> J. Estrada-Álvarez </w:t>
      </w:r>
      <w:r w:rsidR="00EC6124">
        <w:rPr>
          <w:rFonts w:ascii="Arial" w:eastAsia="Arial" w:hAnsi="Arial" w:cs="Arial"/>
          <w:i/>
        </w:rPr>
        <w:t>et al.</w:t>
      </w:r>
      <w:r w:rsidR="00EC6124">
        <w:rPr>
          <w:rFonts w:ascii="Arial" w:eastAsia="Arial" w:hAnsi="Arial" w:cs="Arial"/>
        </w:rPr>
        <w:t xml:space="preserve"> Revista Española de Física </w:t>
      </w:r>
      <w:r w:rsidR="00EC6124">
        <w:rPr>
          <w:rFonts w:ascii="Arial" w:eastAsia="Arial" w:hAnsi="Arial" w:cs="Arial"/>
          <w:b/>
        </w:rPr>
        <w:t xml:space="preserve">38 </w:t>
      </w:r>
      <w:r w:rsidR="00EC6124">
        <w:rPr>
          <w:rFonts w:ascii="Arial" w:eastAsia="Arial" w:hAnsi="Arial" w:cs="Arial"/>
        </w:rPr>
        <w:t>(4) (2024).</w:t>
      </w:r>
    </w:p>
    <w:p w14:paraId="3E4823E7" w14:textId="77777777" w:rsidR="00134B9E" w:rsidRDefault="002645D8">
      <w:pPr>
        <w:widowControl w:val="0"/>
        <w:spacing w:after="0" w:line="240" w:lineRule="auto"/>
        <w:jc w:val="both"/>
        <w:rPr>
          <w:rFonts w:ascii="Arial" w:eastAsia="Arial" w:hAnsi="Arial" w:cs="Arial"/>
        </w:rPr>
      </w:pPr>
      <w:hyperlink r:id="rId50">
        <w:r w:rsidR="00EC6124">
          <w:rPr>
            <w:rFonts w:ascii="Arial" w:eastAsia="Arial" w:hAnsi="Arial" w:cs="Arial"/>
            <w:color w:val="1155CC"/>
            <w:u w:val="single"/>
          </w:rPr>
          <w:t>[EST25a]</w:t>
        </w:r>
      </w:hyperlink>
      <w:r w:rsidR="00EC6124">
        <w:rPr>
          <w:rFonts w:ascii="Arial" w:eastAsia="Arial" w:hAnsi="Arial" w:cs="Arial"/>
        </w:rPr>
        <w:t xml:space="preserve"> J. Estrada-Álvarez </w:t>
      </w:r>
      <w:r w:rsidR="00EC6124">
        <w:rPr>
          <w:rFonts w:ascii="Arial" w:eastAsia="Arial" w:hAnsi="Arial" w:cs="Arial"/>
          <w:i/>
        </w:rPr>
        <w:t>et al.</w:t>
      </w:r>
      <w:r w:rsidR="00EC6124">
        <w:rPr>
          <w:rFonts w:ascii="Arial" w:eastAsia="Arial" w:hAnsi="Arial" w:cs="Arial"/>
        </w:rPr>
        <w:t xml:space="preserve"> Phys. Rev. X </w:t>
      </w:r>
      <w:r w:rsidR="00EC6124">
        <w:rPr>
          <w:rFonts w:ascii="Arial" w:eastAsia="Arial" w:hAnsi="Arial" w:cs="Arial"/>
          <w:b/>
        </w:rPr>
        <w:t>15</w:t>
      </w:r>
      <w:r w:rsidR="00EC6124">
        <w:rPr>
          <w:rFonts w:ascii="Arial" w:eastAsia="Arial" w:hAnsi="Arial" w:cs="Arial"/>
        </w:rPr>
        <w:t xml:space="preserve">, 011039 (2025). </w:t>
      </w:r>
    </w:p>
    <w:p w14:paraId="709622C4" w14:textId="77777777" w:rsidR="00134B9E" w:rsidRDefault="002645D8">
      <w:pPr>
        <w:widowControl w:val="0"/>
        <w:spacing w:after="0" w:line="240" w:lineRule="auto"/>
        <w:jc w:val="both"/>
        <w:rPr>
          <w:rFonts w:ascii="Arial" w:eastAsia="Arial" w:hAnsi="Arial" w:cs="Arial"/>
        </w:rPr>
      </w:pPr>
      <w:hyperlink r:id="rId51">
        <w:r w:rsidR="00EC6124">
          <w:rPr>
            <w:rFonts w:ascii="Arial" w:eastAsia="Arial" w:hAnsi="Arial" w:cs="Arial"/>
            <w:color w:val="1155CC"/>
            <w:u w:val="single"/>
          </w:rPr>
          <w:t>[EST25b]</w:t>
        </w:r>
      </w:hyperlink>
      <w:r w:rsidR="00EC6124">
        <w:rPr>
          <w:rFonts w:ascii="Arial" w:eastAsia="Arial" w:hAnsi="Arial" w:cs="Arial"/>
        </w:rPr>
        <w:t xml:space="preserve"> J. Estrada-Álvarez </w:t>
      </w:r>
      <w:r w:rsidR="00EC6124">
        <w:rPr>
          <w:rFonts w:ascii="Arial" w:eastAsia="Arial" w:hAnsi="Arial" w:cs="Arial"/>
          <w:i/>
        </w:rPr>
        <w:t>et al</w:t>
      </w:r>
      <w:r w:rsidR="00EC6124">
        <w:rPr>
          <w:rFonts w:ascii="Arial" w:eastAsia="Arial" w:hAnsi="Arial" w:cs="Arial"/>
        </w:rPr>
        <w:t>. Phys. Rev. Res.</w:t>
      </w:r>
      <w:r w:rsidR="00EC6124">
        <w:rPr>
          <w:rFonts w:ascii="Arial" w:eastAsia="Arial" w:hAnsi="Arial" w:cs="Arial"/>
          <w:b/>
        </w:rPr>
        <w:t xml:space="preserve"> 7</w:t>
      </w:r>
      <w:r w:rsidR="00EC6124">
        <w:rPr>
          <w:rFonts w:ascii="Arial" w:eastAsia="Arial" w:hAnsi="Arial" w:cs="Arial"/>
        </w:rPr>
        <w:t>, 013087 (2025).</w:t>
      </w:r>
    </w:p>
    <w:p w14:paraId="4AC0AED7" w14:textId="77777777" w:rsidR="00134B9E" w:rsidRDefault="002645D8">
      <w:pPr>
        <w:widowControl w:val="0"/>
        <w:spacing w:after="0" w:line="240" w:lineRule="auto"/>
        <w:jc w:val="both"/>
        <w:rPr>
          <w:rFonts w:ascii="Arial" w:eastAsia="Arial" w:hAnsi="Arial" w:cs="Arial"/>
        </w:rPr>
      </w:pPr>
      <w:hyperlink r:id="rId52">
        <w:r w:rsidR="00EC6124">
          <w:rPr>
            <w:rFonts w:ascii="Arial" w:eastAsia="Arial" w:hAnsi="Arial" w:cs="Arial"/>
            <w:color w:val="1155CC"/>
            <w:u w:val="single"/>
          </w:rPr>
          <w:t>[EST25c]</w:t>
        </w:r>
      </w:hyperlink>
      <w:r w:rsidR="00EC6124">
        <w:rPr>
          <w:rFonts w:ascii="Arial" w:eastAsia="Arial" w:hAnsi="Arial" w:cs="Arial"/>
        </w:rPr>
        <w:t xml:space="preserve"> J. Estrada-Álvarez </w:t>
      </w:r>
      <w:r w:rsidR="00EC6124">
        <w:rPr>
          <w:rFonts w:ascii="Arial" w:eastAsia="Arial" w:hAnsi="Arial" w:cs="Arial"/>
          <w:i/>
        </w:rPr>
        <w:t>et al</w:t>
      </w:r>
      <w:r w:rsidR="00EC6124">
        <w:rPr>
          <w:rFonts w:ascii="Arial" w:eastAsia="Arial" w:hAnsi="Arial" w:cs="Arial"/>
        </w:rPr>
        <w:t xml:space="preserve">. Phys. Rev. B </w:t>
      </w:r>
      <w:r w:rsidR="00EC6124">
        <w:rPr>
          <w:rFonts w:ascii="Arial" w:eastAsia="Arial" w:hAnsi="Arial" w:cs="Arial"/>
          <w:b/>
        </w:rPr>
        <w:t>111</w:t>
      </w:r>
      <w:r w:rsidR="00EC6124">
        <w:rPr>
          <w:rFonts w:ascii="Arial" w:eastAsia="Arial" w:hAnsi="Arial" w:cs="Arial"/>
        </w:rPr>
        <w:t xml:space="preserve">, 075401 (2025). </w:t>
      </w:r>
    </w:p>
    <w:p w14:paraId="5D004ED6" w14:textId="77777777" w:rsidR="00134B9E" w:rsidRDefault="002645D8">
      <w:pPr>
        <w:widowControl w:val="0"/>
        <w:spacing w:after="0" w:line="240" w:lineRule="auto"/>
        <w:jc w:val="both"/>
        <w:rPr>
          <w:rFonts w:ascii="Arial" w:eastAsia="Arial" w:hAnsi="Arial" w:cs="Arial"/>
        </w:rPr>
      </w:pPr>
      <w:hyperlink r:id="rId53">
        <w:r w:rsidR="00EC6124">
          <w:rPr>
            <w:rFonts w:ascii="Arial" w:eastAsia="Arial" w:hAnsi="Arial" w:cs="Arial"/>
            <w:color w:val="1155CC"/>
            <w:u w:val="single"/>
          </w:rPr>
          <w:t>[EST25d]</w:t>
        </w:r>
      </w:hyperlink>
      <w:r w:rsidR="00EC6124">
        <w:rPr>
          <w:rFonts w:ascii="Arial" w:eastAsia="Arial" w:hAnsi="Arial" w:cs="Arial"/>
        </w:rPr>
        <w:t xml:space="preserve"> J. Estrada-Álvarez </w:t>
      </w:r>
      <w:r w:rsidR="00EC6124">
        <w:rPr>
          <w:rFonts w:ascii="Arial" w:eastAsia="Arial" w:hAnsi="Arial" w:cs="Arial"/>
          <w:i/>
        </w:rPr>
        <w:t>et al.</w:t>
      </w:r>
      <w:r w:rsidR="00EC6124">
        <w:rPr>
          <w:rFonts w:ascii="Arial" w:eastAsia="Arial" w:hAnsi="Arial" w:cs="Arial"/>
        </w:rPr>
        <w:t xml:space="preserve"> arxiv:2502.10265.</w:t>
      </w:r>
    </w:p>
    <w:p w14:paraId="6FDD54AF" w14:textId="77777777" w:rsidR="00134B9E" w:rsidRPr="00037AD5" w:rsidRDefault="002645D8">
      <w:pPr>
        <w:widowControl w:val="0"/>
        <w:spacing w:after="0" w:line="240" w:lineRule="auto"/>
        <w:jc w:val="both"/>
        <w:rPr>
          <w:rFonts w:ascii="Arial" w:eastAsia="Arial" w:hAnsi="Arial" w:cs="Arial"/>
          <w:lang w:val="en-US"/>
        </w:rPr>
      </w:pPr>
      <w:hyperlink r:id="rId54">
        <w:r w:rsidR="00EC6124" w:rsidRPr="00037AD5">
          <w:rPr>
            <w:rFonts w:ascii="Arial" w:eastAsia="Arial" w:hAnsi="Arial" w:cs="Arial"/>
            <w:color w:val="1155CC"/>
            <w:u w:val="single"/>
            <w:lang w:val="en-US"/>
          </w:rPr>
          <w:t>[GER25]</w:t>
        </w:r>
      </w:hyperlink>
      <w:r w:rsidR="00EC6124" w:rsidRPr="00037AD5">
        <w:rPr>
          <w:rFonts w:ascii="Arial" w:eastAsia="Arial" w:hAnsi="Arial" w:cs="Arial"/>
          <w:lang w:val="en-US"/>
        </w:rPr>
        <w:t xml:space="preserve"> J. Geurs </w:t>
      </w:r>
      <w:r w:rsidR="00EC6124" w:rsidRPr="00037AD5">
        <w:rPr>
          <w:rFonts w:ascii="Arial" w:eastAsia="Arial" w:hAnsi="Arial" w:cs="Arial"/>
          <w:i/>
          <w:lang w:val="en-US"/>
        </w:rPr>
        <w:t>et al.</w:t>
      </w:r>
      <w:r w:rsidR="00EC6124" w:rsidRPr="00037AD5">
        <w:rPr>
          <w:rFonts w:ascii="Arial" w:eastAsia="Arial" w:hAnsi="Arial" w:cs="Arial"/>
          <w:lang w:val="en-US"/>
        </w:rPr>
        <w:t xml:space="preserve"> APS Meeting Mar-F28 (2025).   </w:t>
      </w:r>
    </w:p>
    <w:p w14:paraId="1906C1D3" w14:textId="77777777" w:rsidR="00134B9E" w:rsidRPr="00037AD5" w:rsidRDefault="002645D8">
      <w:pPr>
        <w:widowControl w:val="0"/>
        <w:spacing w:after="0" w:line="240" w:lineRule="auto"/>
        <w:jc w:val="both"/>
        <w:rPr>
          <w:rFonts w:ascii="Arial" w:eastAsia="Arial" w:hAnsi="Arial" w:cs="Arial"/>
          <w:lang w:val="en-US"/>
        </w:rPr>
      </w:pPr>
      <w:hyperlink r:id="rId55">
        <w:r w:rsidR="00EC6124" w:rsidRPr="00037AD5">
          <w:rPr>
            <w:rFonts w:ascii="Arial" w:eastAsia="Arial" w:hAnsi="Arial" w:cs="Arial"/>
            <w:color w:val="1155CC"/>
            <w:u w:val="single"/>
            <w:lang w:val="en-US"/>
          </w:rPr>
          <w:t>[HUA23]</w:t>
        </w:r>
      </w:hyperlink>
      <w:r w:rsidR="00EC6124" w:rsidRPr="00037AD5">
        <w:rPr>
          <w:rFonts w:ascii="Arial" w:eastAsia="Arial" w:hAnsi="Arial" w:cs="Arial"/>
          <w:lang w:val="en-US"/>
        </w:rPr>
        <w:t xml:space="preserve"> W. Huang </w:t>
      </w:r>
      <w:r w:rsidR="00EC6124" w:rsidRPr="00037AD5">
        <w:rPr>
          <w:rFonts w:ascii="Arial" w:eastAsia="Arial" w:hAnsi="Arial" w:cs="Arial"/>
          <w:i/>
          <w:lang w:val="en-US"/>
        </w:rPr>
        <w:t>et al.</w:t>
      </w:r>
      <w:r w:rsidR="00EC6124" w:rsidRPr="00037AD5">
        <w:rPr>
          <w:rFonts w:ascii="Arial" w:eastAsia="Arial" w:hAnsi="Arial" w:cs="Arial"/>
          <w:lang w:val="en-US"/>
        </w:rPr>
        <w:t xml:space="preserve"> Phys. Rev. Res. </w:t>
      </w:r>
      <w:r w:rsidR="00EC6124" w:rsidRPr="00037AD5">
        <w:rPr>
          <w:rFonts w:ascii="Arial" w:eastAsia="Arial" w:hAnsi="Arial" w:cs="Arial"/>
          <w:b/>
          <w:lang w:val="en-US"/>
        </w:rPr>
        <w:t>5</w:t>
      </w:r>
      <w:r w:rsidR="00EC6124" w:rsidRPr="00037AD5">
        <w:rPr>
          <w:rFonts w:ascii="Arial" w:eastAsia="Arial" w:hAnsi="Arial" w:cs="Arial"/>
          <w:lang w:val="en-US"/>
        </w:rPr>
        <w:t xml:space="preserve">, 023075 (2023).   </w:t>
      </w:r>
    </w:p>
    <w:p w14:paraId="3346860F" w14:textId="77777777" w:rsidR="00134B9E" w:rsidRPr="00037AD5" w:rsidRDefault="002645D8">
      <w:pPr>
        <w:widowControl w:val="0"/>
        <w:spacing w:after="0" w:line="240" w:lineRule="auto"/>
        <w:jc w:val="both"/>
        <w:rPr>
          <w:rFonts w:ascii="Arial" w:eastAsia="Arial" w:hAnsi="Arial" w:cs="Arial"/>
          <w:lang w:val="en-US"/>
        </w:rPr>
      </w:pPr>
      <w:hyperlink r:id="rId56">
        <w:r w:rsidR="00EC6124" w:rsidRPr="00037AD5">
          <w:rPr>
            <w:rFonts w:ascii="Arial" w:eastAsia="Arial" w:hAnsi="Arial" w:cs="Arial"/>
            <w:color w:val="1155CC"/>
            <w:u w:val="single"/>
            <w:lang w:val="en-US"/>
          </w:rPr>
          <w:t xml:space="preserve">[HUA24] </w:t>
        </w:r>
      </w:hyperlink>
      <w:r w:rsidR="00EC6124" w:rsidRPr="00037AD5">
        <w:rPr>
          <w:rFonts w:ascii="Arial" w:eastAsia="Arial" w:hAnsi="Arial" w:cs="Arial"/>
          <w:lang w:val="en-US"/>
        </w:rPr>
        <w:t xml:space="preserve">W. Huang </w:t>
      </w:r>
      <w:r w:rsidR="00EC6124" w:rsidRPr="00037AD5">
        <w:rPr>
          <w:rFonts w:ascii="Arial" w:eastAsia="Arial" w:hAnsi="Arial" w:cs="Arial"/>
          <w:i/>
          <w:lang w:val="en-US"/>
        </w:rPr>
        <w:t>et al.</w:t>
      </w:r>
      <w:r w:rsidR="00EC6124" w:rsidRPr="00037AD5">
        <w:rPr>
          <w:rFonts w:ascii="Arial" w:eastAsia="Arial" w:hAnsi="Arial" w:cs="Arial"/>
          <w:lang w:val="en-US"/>
        </w:rPr>
        <w:t xml:space="preserve"> 2D Mater. </w:t>
      </w:r>
      <w:r w:rsidR="00EC6124" w:rsidRPr="00037AD5">
        <w:rPr>
          <w:rFonts w:ascii="Arial" w:eastAsia="Arial" w:hAnsi="Arial" w:cs="Arial"/>
          <w:b/>
          <w:lang w:val="en-US"/>
        </w:rPr>
        <w:t>11</w:t>
      </w:r>
      <w:r w:rsidR="00EC6124" w:rsidRPr="00037AD5">
        <w:rPr>
          <w:rFonts w:ascii="Arial" w:eastAsia="Arial" w:hAnsi="Arial" w:cs="Arial"/>
          <w:lang w:val="en-US"/>
        </w:rPr>
        <w:t xml:space="preserve">, 033001 (2024).  </w:t>
      </w:r>
    </w:p>
    <w:p w14:paraId="3391AF16" w14:textId="77777777" w:rsidR="00134B9E" w:rsidRPr="00037AD5" w:rsidRDefault="002645D8">
      <w:pPr>
        <w:widowControl w:val="0"/>
        <w:spacing w:after="0" w:line="240" w:lineRule="auto"/>
        <w:jc w:val="both"/>
        <w:rPr>
          <w:rFonts w:ascii="Arial" w:eastAsia="Arial" w:hAnsi="Arial" w:cs="Arial"/>
          <w:lang w:val="en-US"/>
        </w:rPr>
      </w:pPr>
      <w:hyperlink r:id="rId57">
        <w:r w:rsidR="00EC6124" w:rsidRPr="00037AD5">
          <w:rPr>
            <w:rFonts w:ascii="Arial" w:eastAsia="Arial" w:hAnsi="Arial" w:cs="Arial"/>
            <w:color w:val="1155CC"/>
            <w:u w:val="single"/>
            <w:lang w:val="en-US"/>
          </w:rPr>
          <w:t>[HUI21]</w:t>
        </w:r>
      </w:hyperlink>
      <w:r w:rsidR="00EC6124" w:rsidRPr="00037AD5">
        <w:rPr>
          <w:rFonts w:ascii="Arial" w:eastAsia="Arial" w:hAnsi="Arial" w:cs="Arial"/>
          <w:lang w:val="en-US"/>
        </w:rPr>
        <w:t xml:space="preserve"> A. Hui </w:t>
      </w:r>
      <w:r w:rsidR="00EC6124" w:rsidRPr="00037AD5">
        <w:rPr>
          <w:rFonts w:ascii="Arial" w:eastAsia="Arial" w:hAnsi="Arial" w:cs="Arial"/>
          <w:i/>
          <w:lang w:val="en-US"/>
        </w:rPr>
        <w:t>et al</w:t>
      </w:r>
      <w:r w:rsidR="00EC6124" w:rsidRPr="00037AD5">
        <w:rPr>
          <w:rFonts w:ascii="Arial" w:eastAsia="Arial" w:hAnsi="Arial" w:cs="Arial"/>
          <w:lang w:val="en-US"/>
        </w:rPr>
        <w:t xml:space="preserve">. Phys. Rev. B </w:t>
      </w:r>
      <w:r w:rsidR="00EC6124" w:rsidRPr="00037AD5">
        <w:rPr>
          <w:rFonts w:ascii="Arial" w:eastAsia="Arial" w:hAnsi="Arial" w:cs="Arial"/>
          <w:b/>
          <w:lang w:val="en-US"/>
        </w:rPr>
        <w:t>103</w:t>
      </w:r>
      <w:r w:rsidR="00EC6124" w:rsidRPr="00037AD5">
        <w:rPr>
          <w:rFonts w:ascii="Arial" w:eastAsia="Arial" w:hAnsi="Arial" w:cs="Arial"/>
          <w:lang w:val="en-US"/>
        </w:rPr>
        <w:t xml:space="preserve">, 235152 (2021).                                                                                                                                                 </w:t>
      </w:r>
    </w:p>
    <w:p w14:paraId="76F6BD53" w14:textId="77777777" w:rsidR="00134B9E" w:rsidRPr="00037AD5" w:rsidRDefault="002645D8">
      <w:pPr>
        <w:widowControl w:val="0"/>
        <w:spacing w:after="0" w:line="240" w:lineRule="auto"/>
        <w:jc w:val="both"/>
        <w:rPr>
          <w:rFonts w:ascii="Arial" w:eastAsia="Arial" w:hAnsi="Arial" w:cs="Arial"/>
          <w:lang w:val="en-US"/>
        </w:rPr>
      </w:pPr>
      <w:hyperlink r:id="rId58">
        <w:r w:rsidR="00EC6124" w:rsidRPr="00037AD5">
          <w:rPr>
            <w:rFonts w:ascii="Arial" w:eastAsia="Arial" w:hAnsi="Arial" w:cs="Arial"/>
            <w:color w:val="1155CC"/>
            <w:u w:val="single"/>
            <w:lang w:val="en-US"/>
          </w:rPr>
          <w:t>[KES21]</w:t>
        </w:r>
      </w:hyperlink>
      <w:r w:rsidR="00EC6124" w:rsidRPr="00037AD5">
        <w:rPr>
          <w:rFonts w:ascii="Arial" w:eastAsia="Arial" w:hAnsi="Arial" w:cs="Arial"/>
          <w:lang w:val="en-US"/>
        </w:rPr>
        <w:t xml:space="preserve"> A. C. Keser </w:t>
      </w:r>
      <w:r w:rsidR="00EC6124" w:rsidRPr="00037AD5">
        <w:rPr>
          <w:rFonts w:ascii="Arial" w:eastAsia="Arial" w:hAnsi="Arial" w:cs="Arial"/>
          <w:i/>
          <w:lang w:val="en-US"/>
        </w:rPr>
        <w:t>et al</w:t>
      </w:r>
      <w:r w:rsidR="00EC6124" w:rsidRPr="00037AD5">
        <w:rPr>
          <w:rFonts w:ascii="Arial" w:eastAsia="Arial" w:hAnsi="Arial" w:cs="Arial"/>
          <w:lang w:val="en-US"/>
        </w:rPr>
        <w:t xml:space="preserve">. Phys. Rev. X </w:t>
      </w:r>
      <w:r w:rsidR="00EC6124" w:rsidRPr="00037AD5">
        <w:rPr>
          <w:rFonts w:ascii="Arial" w:eastAsia="Arial" w:hAnsi="Arial" w:cs="Arial"/>
          <w:b/>
          <w:lang w:val="en-US"/>
        </w:rPr>
        <w:t>11</w:t>
      </w:r>
      <w:r w:rsidR="00EC6124" w:rsidRPr="00037AD5">
        <w:rPr>
          <w:rFonts w:ascii="Arial" w:eastAsia="Arial" w:hAnsi="Arial" w:cs="Arial"/>
          <w:lang w:val="en-US"/>
        </w:rPr>
        <w:t xml:space="preserve">, 031030 (2021). </w:t>
      </w:r>
    </w:p>
    <w:p w14:paraId="72CA0D4A" w14:textId="77777777" w:rsidR="00134B9E" w:rsidRPr="00037AD5" w:rsidRDefault="002645D8">
      <w:pPr>
        <w:widowControl w:val="0"/>
        <w:spacing w:after="0" w:line="240" w:lineRule="auto"/>
        <w:jc w:val="both"/>
        <w:rPr>
          <w:rFonts w:ascii="Arial" w:eastAsia="Arial" w:hAnsi="Arial" w:cs="Arial"/>
          <w:lang w:val="en-US"/>
        </w:rPr>
      </w:pPr>
      <w:hyperlink r:id="rId59">
        <w:r w:rsidR="00EC6124" w:rsidRPr="00037AD5">
          <w:rPr>
            <w:rFonts w:ascii="Arial" w:eastAsia="Arial" w:hAnsi="Arial" w:cs="Arial"/>
            <w:color w:val="1155CC"/>
            <w:u w:val="single"/>
            <w:lang w:val="en-US"/>
          </w:rPr>
          <w:t>[KRA25]</w:t>
        </w:r>
      </w:hyperlink>
      <w:r w:rsidR="00EC6124" w:rsidRPr="00037AD5">
        <w:rPr>
          <w:rFonts w:ascii="Arial" w:eastAsia="Arial" w:hAnsi="Arial" w:cs="Arial"/>
          <w:lang w:val="en-US"/>
        </w:rPr>
        <w:t xml:space="preserve"> M. V. Kravstov </w:t>
      </w:r>
      <w:r w:rsidR="00EC6124" w:rsidRPr="00037AD5">
        <w:rPr>
          <w:rFonts w:ascii="Arial" w:eastAsia="Arial" w:hAnsi="Arial" w:cs="Arial"/>
          <w:i/>
          <w:lang w:val="en-US"/>
        </w:rPr>
        <w:t>et al</w:t>
      </w:r>
      <w:r w:rsidR="00EC6124" w:rsidRPr="00037AD5">
        <w:rPr>
          <w:rFonts w:ascii="Arial" w:eastAsia="Arial" w:hAnsi="Arial" w:cs="Arial"/>
          <w:lang w:val="en-US"/>
        </w:rPr>
        <w:t xml:space="preserve">. Nat. Nanotech. </w:t>
      </w:r>
      <w:r w:rsidR="00EC6124" w:rsidRPr="00037AD5">
        <w:rPr>
          <w:rFonts w:ascii="Arial" w:eastAsia="Arial" w:hAnsi="Arial" w:cs="Arial"/>
          <w:b/>
          <w:lang w:val="en-US"/>
        </w:rPr>
        <w:t>20</w:t>
      </w:r>
      <w:r w:rsidR="00EC6124" w:rsidRPr="00037AD5">
        <w:rPr>
          <w:rFonts w:ascii="Arial" w:eastAsia="Arial" w:hAnsi="Arial" w:cs="Arial"/>
          <w:lang w:val="en-US"/>
        </w:rPr>
        <w:t>, 51 (2025)</w:t>
      </w:r>
    </w:p>
    <w:p w14:paraId="4C6CBEB4" w14:textId="77777777" w:rsidR="00134B9E" w:rsidRPr="00037AD5" w:rsidRDefault="002645D8">
      <w:pPr>
        <w:widowControl w:val="0"/>
        <w:spacing w:after="0" w:line="240" w:lineRule="auto"/>
        <w:jc w:val="both"/>
        <w:rPr>
          <w:rFonts w:ascii="Arial" w:eastAsia="Arial" w:hAnsi="Arial" w:cs="Arial"/>
          <w:lang w:val="en-US"/>
        </w:rPr>
      </w:pPr>
      <w:hyperlink r:id="rId60">
        <w:r w:rsidR="00EC6124" w:rsidRPr="00037AD5">
          <w:rPr>
            <w:rFonts w:ascii="Arial" w:eastAsia="Arial" w:hAnsi="Arial" w:cs="Arial"/>
            <w:color w:val="1155CC"/>
            <w:u w:val="single"/>
            <w:lang w:val="en-US"/>
          </w:rPr>
          <w:t>[KRE14]</w:t>
        </w:r>
      </w:hyperlink>
      <w:r w:rsidR="00EC6124" w:rsidRPr="00037AD5">
        <w:rPr>
          <w:rFonts w:ascii="Arial" w:eastAsia="Arial" w:hAnsi="Arial" w:cs="Arial"/>
          <w:lang w:val="en-US"/>
        </w:rPr>
        <w:t xml:space="preserve"> A. V. Kretinin </w:t>
      </w:r>
      <w:r w:rsidR="00EC6124" w:rsidRPr="00037AD5">
        <w:rPr>
          <w:rFonts w:ascii="Arial" w:eastAsia="Arial" w:hAnsi="Arial" w:cs="Arial"/>
          <w:i/>
          <w:lang w:val="en-US"/>
        </w:rPr>
        <w:t>et al.</w:t>
      </w:r>
      <w:r w:rsidR="00EC6124" w:rsidRPr="00037AD5">
        <w:rPr>
          <w:rFonts w:ascii="Arial" w:eastAsia="Arial" w:hAnsi="Arial" w:cs="Arial"/>
          <w:lang w:val="en-US"/>
        </w:rPr>
        <w:t xml:space="preserve"> Nano Lett. </w:t>
      </w:r>
      <w:r w:rsidR="00EC6124" w:rsidRPr="00037AD5">
        <w:rPr>
          <w:rFonts w:ascii="Arial" w:eastAsia="Arial" w:hAnsi="Arial" w:cs="Arial"/>
          <w:b/>
          <w:lang w:val="en-US"/>
        </w:rPr>
        <w:t>14</w:t>
      </w:r>
      <w:r w:rsidR="00EC6124" w:rsidRPr="00037AD5">
        <w:rPr>
          <w:rFonts w:ascii="Arial" w:eastAsia="Arial" w:hAnsi="Arial" w:cs="Arial"/>
          <w:lang w:val="en-US"/>
        </w:rPr>
        <w:t>, 3270 (2014).</w:t>
      </w:r>
    </w:p>
    <w:p w14:paraId="02DCCBBF" w14:textId="77777777" w:rsidR="00134B9E" w:rsidRPr="00037AD5" w:rsidRDefault="002645D8">
      <w:pPr>
        <w:widowControl w:val="0"/>
        <w:spacing w:after="0" w:line="240" w:lineRule="auto"/>
        <w:jc w:val="both"/>
        <w:rPr>
          <w:rFonts w:ascii="Arial" w:eastAsia="Arial" w:hAnsi="Arial" w:cs="Arial"/>
          <w:lang w:val="en-US"/>
        </w:rPr>
      </w:pPr>
      <w:hyperlink r:id="rId61">
        <w:r w:rsidR="00EC6124" w:rsidRPr="00037AD5">
          <w:rPr>
            <w:rFonts w:ascii="Arial" w:eastAsia="Arial" w:hAnsi="Arial" w:cs="Arial"/>
            <w:color w:val="1155CC"/>
            <w:u w:val="single"/>
            <w:lang w:val="en-US"/>
          </w:rPr>
          <w:t>[KUM17]</w:t>
        </w:r>
      </w:hyperlink>
      <w:r w:rsidR="00EC6124" w:rsidRPr="00037AD5">
        <w:rPr>
          <w:rFonts w:ascii="Arial" w:eastAsia="Arial" w:hAnsi="Arial" w:cs="Arial"/>
          <w:lang w:val="en-US"/>
        </w:rPr>
        <w:t xml:space="preserve"> R. K. Kumar </w:t>
      </w:r>
      <w:r w:rsidR="00EC6124" w:rsidRPr="00037AD5">
        <w:rPr>
          <w:rFonts w:ascii="Arial" w:eastAsia="Arial" w:hAnsi="Arial" w:cs="Arial"/>
          <w:i/>
          <w:lang w:val="en-US"/>
        </w:rPr>
        <w:t>et al</w:t>
      </w:r>
      <w:r w:rsidR="00EC6124" w:rsidRPr="00037AD5">
        <w:rPr>
          <w:rFonts w:ascii="Arial" w:eastAsia="Arial" w:hAnsi="Arial" w:cs="Arial"/>
          <w:lang w:val="en-US"/>
        </w:rPr>
        <w:t xml:space="preserve">.  Nat. Phys. </w:t>
      </w:r>
      <w:r w:rsidR="00EC6124" w:rsidRPr="00037AD5">
        <w:rPr>
          <w:rFonts w:ascii="Arial" w:eastAsia="Arial" w:hAnsi="Arial" w:cs="Arial"/>
          <w:b/>
          <w:lang w:val="en-US"/>
        </w:rPr>
        <w:t>13</w:t>
      </w:r>
      <w:r w:rsidR="00EC6124" w:rsidRPr="00037AD5">
        <w:rPr>
          <w:rFonts w:ascii="Arial" w:eastAsia="Arial" w:hAnsi="Arial" w:cs="Arial"/>
          <w:lang w:val="en-US"/>
        </w:rPr>
        <w:t>, 1182 (2017).</w:t>
      </w:r>
    </w:p>
    <w:p w14:paraId="6B811562" w14:textId="77777777" w:rsidR="00134B9E" w:rsidRPr="00037AD5" w:rsidRDefault="002645D8">
      <w:pPr>
        <w:widowControl w:val="0"/>
        <w:spacing w:after="0" w:line="240" w:lineRule="auto"/>
        <w:jc w:val="both"/>
        <w:rPr>
          <w:rFonts w:ascii="Arial" w:eastAsia="Arial" w:hAnsi="Arial" w:cs="Arial"/>
          <w:lang w:val="en-US"/>
        </w:rPr>
      </w:pPr>
      <w:hyperlink r:id="rId62">
        <w:r w:rsidR="00EC6124" w:rsidRPr="00037AD5">
          <w:rPr>
            <w:rFonts w:ascii="Arial" w:eastAsia="Arial" w:hAnsi="Arial" w:cs="Arial"/>
            <w:color w:val="1155CC"/>
            <w:u w:val="single"/>
            <w:lang w:val="en-US"/>
          </w:rPr>
          <w:t>[KU-20]</w:t>
        </w:r>
      </w:hyperlink>
      <w:r w:rsidR="00EC6124" w:rsidRPr="00037AD5">
        <w:rPr>
          <w:rFonts w:ascii="Arial" w:eastAsia="Arial" w:hAnsi="Arial" w:cs="Arial"/>
          <w:lang w:val="en-US"/>
        </w:rPr>
        <w:t xml:space="preserve"> M. J. H. Ku </w:t>
      </w:r>
      <w:r w:rsidR="00EC6124" w:rsidRPr="00037AD5">
        <w:rPr>
          <w:rFonts w:ascii="Arial" w:eastAsia="Arial" w:hAnsi="Arial" w:cs="Arial"/>
          <w:i/>
          <w:lang w:val="en-US"/>
        </w:rPr>
        <w:t>et al.</w:t>
      </w:r>
      <w:r w:rsidR="00EC6124" w:rsidRPr="00037AD5">
        <w:rPr>
          <w:rFonts w:ascii="Arial" w:eastAsia="Arial" w:hAnsi="Arial" w:cs="Arial"/>
          <w:lang w:val="en-US"/>
        </w:rPr>
        <w:t xml:space="preserve"> Nature </w:t>
      </w:r>
      <w:r w:rsidR="00EC6124" w:rsidRPr="00037AD5">
        <w:rPr>
          <w:rFonts w:ascii="Arial" w:eastAsia="Arial" w:hAnsi="Arial" w:cs="Arial"/>
          <w:b/>
          <w:lang w:val="en-US"/>
        </w:rPr>
        <w:t>583</w:t>
      </w:r>
      <w:r w:rsidR="00EC6124" w:rsidRPr="00037AD5">
        <w:rPr>
          <w:rFonts w:ascii="Arial" w:eastAsia="Arial" w:hAnsi="Arial" w:cs="Arial"/>
          <w:lang w:val="en-US"/>
        </w:rPr>
        <w:t xml:space="preserve">, 537 (2020). </w:t>
      </w:r>
    </w:p>
    <w:p w14:paraId="521E36E1" w14:textId="77777777" w:rsidR="00134B9E" w:rsidRPr="00037AD5" w:rsidRDefault="002645D8">
      <w:pPr>
        <w:widowControl w:val="0"/>
        <w:spacing w:after="0" w:line="240" w:lineRule="auto"/>
        <w:jc w:val="both"/>
        <w:rPr>
          <w:rFonts w:ascii="Arial" w:eastAsia="Arial" w:hAnsi="Arial" w:cs="Arial"/>
          <w:lang w:val="en-US"/>
        </w:rPr>
      </w:pPr>
      <w:hyperlink r:id="rId63">
        <w:r w:rsidR="00EC6124">
          <w:rPr>
            <w:rFonts w:ascii="Arial" w:eastAsia="Arial" w:hAnsi="Arial" w:cs="Arial"/>
            <w:color w:val="1155CC"/>
            <w:u w:val="single"/>
          </w:rPr>
          <w:t>[LEI23]</w:t>
        </w:r>
      </w:hyperlink>
      <w:r w:rsidR="00EC6124">
        <w:rPr>
          <w:rFonts w:ascii="Arial" w:eastAsia="Arial" w:hAnsi="Arial" w:cs="Arial"/>
        </w:rPr>
        <w:t xml:space="preserve"> A. Leitenstorfer </w:t>
      </w:r>
      <w:r w:rsidR="00EC6124">
        <w:rPr>
          <w:rFonts w:ascii="Arial" w:eastAsia="Arial" w:hAnsi="Arial" w:cs="Arial"/>
          <w:i/>
        </w:rPr>
        <w:t>et al.</w:t>
      </w:r>
      <w:r w:rsidR="00EC6124">
        <w:rPr>
          <w:rFonts w:ascii="Arial" w:eastAsia="Arial" w:hAnsi="Arial" w:cs="Arial"/>
        </w:rPr>
        <w:t xml:space="preserve"> </w:t>
      </w:r>
      <w:r w:rsidR="00EC6124" w:rsidRPr="00037AD5">
        <w:rPr>
          <w:rFonts w:ascii="Arial" w:eastAsia="Arial" w:hAnsi="Arial" w:cs="Arial"/>
          <w:lang w:val="en-US"/>
        </w:rPr>
        <w:t xml:space="preserve">J. Phys. D: Appl. Phys. </w:t>
      </w:r>
      <w:r w:rsidR="00EC6124" w:rsidRPr="00037AD5">
        <w:rPr>
          <w:rFonts w:ascii="Arial" w:eastAsia="Arial" w:hAnsi="Arial" w:cs="Arial"/>
          <w:b/>
          <w:lang w:val="en-US"/>
        </w:rPr>
        <w:t>56</w:t>
      </w:r>
      <w:r w:rsidR="00EC6124" w:rsidRPr="00037AD5">
        <w:rPr>
          <w:rFonts w:ascii="Arial" w:eastAsia="Arial" w:hAnsi="Arial" w:cs="Arial"/>
          <w:lang w:val="en-US"/>
        </w:rPr>
        <w:t xml:space="preserve"> 223001</w:t>
      </w:r>
    </w:p>
    <w:p w14:paraId="6C2C4441" w14:textId="77777777" w:rsidR="00134B9E" w:rsidRPr="00037AD5" w:rsidRDefault="002645D8">
      <w:pPr>
        <w:widowControl w:val="0"/>
        <w:spacing w:after="0" w:line="240" w:lineRule="auto"/>
        <w:jc w:val="both"/>
        <w:rPr>
          <w:rFonts w:ascii="Arial" w:eastAsia="Arial" w:hAnsi="Arial" w:cs="Arial"/>
          <w:lang w:val="en-US"/>
        </w:rPr>
      </w:pPr>
      <w:hyperlink r:id="rId64">
        <w:r w:rsidR="00EC6124" w:rsidRPr="00037AD5">
          <w:rPr>
            <w:rFonts w:ascii="Arial" w:eastAsia="Arial" w:hAnsi="Arial" w:cs="Arial"/>
            <w:color w:val="1155CC"/>
            <w:u w:val="single"/>
            <w:lang w:val="en-US"/>
          </w:rPr>
          <w:t>[LI-20]</w:t>
        </w:r>
      </w:hyperlink>
      <w:r w:rsidR="00EC6124" w:rsidRPr="00037AD5">
        <w:rPr>
          <w:rFonts w:ascii="Arial" w:eastAsia="Arial" w:hAnsi="Arial" w:cs="Arial"/>
          <w:lang w:val="en-US"/>
        </w:rPr>
        <w:t xml:space="preserve"> Y. Li, M. Amado </w:t>
      </w:r>
      <w:r w:rsidR="00EC6124" w:rsidRPr="00037AD5">
        <w:rPr>
          <w:rFonts w:ascii="Arial" w:eastAsia="Arial" w:hAnsi="Arial" w:cs="Arial"/>
          <w:i/>
          <w:lang w:val="en-US"/>
        </w:rPr>
        <w:t>et al</w:t>
      </w:r>
      <w:r w:rsidR="00EC6124" w:rsidRPr="00037AD5">
        <w:rPr>
          <w:rFonts w:ascii="Arial" w:eastAsia="Arial" w:hAnsi="Arial" w:cs="Arial"/>
          <w:lang w:val="en-US"/>
        </w:rPr>
        <w:t xml:space="preserve">. Commun. Phys. </w:t>
      </w:r>
      <w:r w:rsidR="00EC6124" w:rsidRPr="00037AD5">
        <w:rPr>
          <w:rFonts w:ascii="Arial" w:eastAsia="Arial" w:hAnsi="Arial" w:cs="Arial"/>
          <w:b/>
          <w:lang w:val="en-US"/>
        </w:rPr>
        <w:t>3</w:t>
      </w:r>
      <w:r w:rsidR="00EC6124" w:rsidRPr="00037AD5">
        <w:rPr>
          <w:rFonts w:ascii="Arial" w:eastAsia="Arial" w:hAnsi="Arial" w:cs="Arial"/>
          <w:lang w:val="en-US"/>
        </w:rPr>
        <w:t>, 224 (2020).</w:t>
      </w:r>
    </w:p>
    <w:p w14:paraId="79436EBE" w14:textId="77777777" w:rsidR="00134B9E" w:rsidRPr="00037AD5" w:rsidRDefault="002645D8">
      <w:pPr>
        <w:widowControl w:val="0"/>
        <w:spacing w:after="0" w:line="240" w:lineRule="auto"/>
        <w:jc w:val="both"/>
        <w:rPr>
          <w:rFonts w:ascii="Arial" w:eastAsia="Arial" w:hAnsi="Arial" w:cs="Arial"/>
          <w:lang w:val="en-US"/>
        </w:rPr>
      </w:pPr>
      <w:hyperlink r:id="rId65">
        <w:r w:rsidR="00EC6124" w:rsidRPr="00037AD5">
          <w:rPr>
            <w:rFonts w:ascii="Arial" w:eastAsia="Arial" w:hAnsi="Arial" w:cs="Arial"/>
            <w:color w:val="1155CC"/>
            <w:u w:val="single"/>
            <w:lang w:val="en-US"/>
          </w:rPr>
          <w:t>[LUD24]</w:t>
        </w:r>
      </w:hyperlink>
      <w:r w:rsidR="00EC6124" w:rsidRPr="00037AD5">
        <w:rPr>
          <w:rFonts w:ascii="Arial" w:eastAsia="Arial" w:hAnsi="Arial" w:cs="Arial"/>
          <w:lang w:val="en-US"/>
        </w:rPr>
        <w:t xml:space="preserve"> F. Ludwig </w:t>
      </w:r>
      <w:r w:rsidR="00EC6124" w:rsidRPr="00037AD5">
        <w:rPr>
          <w:rFonts w:ascii="Arial" w:eastAsia="Arial" w:hAnsi="Arial" w:cs="Arial"/>
          <w:i/>
          <w:lang w:val="en-US"/>
        </w:rPr>
        <w:t xml:space="preserve">et al. </w:t>
      </w:r>
      <w:r w:rsidR="00EC6124" w:rsidRPr="00037AD5">
        <w:rPr>
          <w:rFonts w:ascii="Arial" w:eastAsia="Arial" w:hAnsi="Arial" w:cs="Arial"/>
          <w:lang w:val="en-US"/>
        </w:rPr>
        <w:t xml:space="preserve">ACS Appl. Electron. Mater. 6, </w:t>
      </w:r>
      <w:r w:rsidR="00EC6124" w:rsidRPr="00037AD5">
        <w:rPr>
          <w:rFonts w:ascii="Arial" w:eastAsia="Arial" w:hAnsi="Arial" w:cs="Arial"/>
          <w:b/>
          <w:lang w:val="en-US"/>
        </w:rPr>
        <w:t>4</w:t>
      </w:r>
      <w:r w:rsidR="00EC6124" w:rsidRPr="00037AD5">
        <w:rPr>
          <w:rFonts w:ascii="Arial" w:eastAsia="Arial" w:hAnsi="Arial" w:cs="Arial"/>
          <w:lang w:val="en-US"/>
        </w:rPr>
        <w:t xml:space="preserve"> 2197 (2024).</w:t>
      </w:r>
    </w:p>
    <w:p w14:paraId="2AFC560D" w14:textId="77777777" w:rsidR="00134B9E" w:rsidRPr="00037AD5" w:rsidRDefault="002645D8">
      <w:pPr>
        <w:widowControl w:val="0"/>
        <w:spacing w:after="0" w:line="240" w:lineRule="auto"/>
        <w:jc w:val="both"/>
        <w:rPr>
          <w:rFonts w:ascii="Arial" w:eastAsia="Arial" w:hAnsi="Arial" w:cs="Arial"/>
          <w:lang w:val="en-US"/>
        </w:rPr>
      </w:pPr>
      <w:hyperlink r:id="rId66">
        <w:r w:rsidR="00EC6124" w:rsidRPr="00037AD5">
          <w:rPr>
            <w:rFonts w:ascii="Arial" w:eastAsia="Arial" w:hAnsi="Arial" w:cs="Arial"/>
            <w:color w:val="1155CC"/>
            <w:u w:val="single"/>
            <w:lang w:val="en-US"/>
          </w:rPr>
          <w:t>[MOH22]</w:t>
        </w:r>
      </w:hyperlink>
      <w:r w:rsidR="00EC6124" w:rsidRPr="00037AD5">
        <w:rPr>
          <w:rFonts w:ascii="Arial" w:eastAsia="Arial" w:hAnsi="Arial" w:cs="Arial"/>
          <w:lang w:val="en-US"/>
        </w:rPr>
        <w:t xml:space="preserve"> Mohammad, W </w:t>
      </w:r>
      <w:r w:rsidR="00EC6124" w:rsidRPr="00037AD5">
        <w:rPr>
          <w:rFonts w:ascii="Arial" w:eastAsia="Arial" w:hAnsi="Arial" w:cs="Arial"/>
          <w:i/>
          <w:lang w:val="en-US"/>
        </w:rPr>
        <w:t>et al.</w:t>
      </w:r>
      <w:r w:rsidR="00EC6124" w:rsidRPr="00037AD5">
        <w:rPr>
          <w:rFonts w:ascii="Arial" w:eastAsia="Arial" w:hAnsi="Arial" w:cs="Arial"/>
          <w:lang w:val="en-US"/>
        </w:rPr>
        <w:t xml:space="preserve"> IFAC </w:t>
      </w:r>
      <w:r w:rsidR="00EC6124" w:rsidRPr="00037AD5">
        <w:rPr>
          <w:rFonts w:ascii="Arial" w:eastAsia="Arial" w:hAnsi="Arial" w:cs="Arial"/>
          <w:b/>
          <w:lang w:val="en-US"/>
        </w:rPr>
        <w:t>55</w:t>
      </w:r>
      <w:r w:rsidR="00EC6124" w:rsidRPr="00037AD5">
        <w:rPr>
          <w:rFonts w:ascii="Arial" w:eastAsia="Arial" w:hAnsi="Arial" w:cs="Arial"/>
          <w:lang w:val="en-US"/>
        </w:rPr>
        <w:t xml:space="preserve"> 476 (2022).</w:t>
      </w:r>
    </w:p>
    <w:p w14:paraId="2D7E0146" w14:textId="77777777" w:rsidR="00134B9E" w:rsidRPr="00037AD5" w:rsidRDefault="002645D8">
      <w:pPr>
        <w:widowControl w:val="0"/>
        <w:spacing w:after="0" w:line="240" w:lineRule="auto"/>
        <w:jc w:val="both"/>
        <w:rPr>
          <w:rFonts w:ascii="Arial" w:eastAsia="Arial" w:hAnsi="Arial" w:cs="Arial"/>
          <w:lang w:val="en-US"/>
        </w:rPr>
      </w:pPr>
      <w:hyperlink r:id="rId67">
        <w:r w:rsidR="00EC6124" w:rsidRPr="00037AD5">
          <w:rPr>
            <w:rFonts w:ascii="Arial" w:eastAsia="Arial" w:hAnsi="Arial" w:cs="Arial"/>
            <w:color w:val="1155CC"/>
            <w:u w:val="single"/>
            <w:lang w:val="en-US"/>
          </w:rPr>
          <w:t>[MOL95]</w:t>
        </w:r>
      </w:hyperlink>
      <w:r w:rsidR="00EC6124" w:rsidRPr="00037AD5">
        <w:rPr>
          <w:rFonts w:ascii="Arial" w:eastAsia="Arial" w:hAnsi="Arial" w:cs="Arial"/>
          <w:lang w:val="en-US"/>
        </w:rPr>
        <w:t xml:space="preserve"> M. J. de Jong </w:t>
      </w:r>
      <w:r w:rsidR="00EC6124" w:rsidRPr="00037AD5">
        <w:rPr>
          <w:rFonts w:ascii="Arial" w:eastAsia="Arial" w:hAnsi="Arial" w:cs="Arial"/>
          <w:i/>
          <w:lang w:val="en-US"/>
        </w:rPr>
        <w:t xml:space="preserve">et al. </w:t>
      </w:r>
      <w:r w:rsidR="00EC6124" w:rsidRPr="00037AD5">
        <w:rPr>
          <w:rFonts w:ascii="Arial" w:eastAsia="Arial" w:hAnsi="Arial" w:cs="Arial"/>
          <w:lang w:val="en-US"/>
        </w:rPr>
        <w:t xml:space="preserve">Phys. Rev. B </w:t>
      </w:r>
      <w:r w:rsidR="00EC6124" w:rsidRPr="00037AD5">
        <w:rPr>
          <w:rFonts w:ascii="Arial" w:eastAsia="Arial" w:hAnsi="Arial" w:cs="Arial"/>
          <w:b/>
          <w:lang w:val="en-US"/>
        </w:rPr>
        <w:t>51</w:t>
      </w:r>
      <w:r w:rsidR="00EC6124" w:rsidRPr="00037AD5">
        <w:rPr>
          <w:rFonts w:ascii="Arial" w:eastAsia="Arial" w:hAnsi="Arial" w:cs="Arial"/>
          <w:lang w:val="en-US"/>
        </w:rPr>
        <w:t xml:space="preserve">, 13389 (1995). </w:t>
      </w:r>
    </w:p>
    <w:p w14:paraId="56039805" w14:textId="77777777" w:rsidR="00134B9E" w:rsidRPr="00037AD5" w:rsidRDefault="002645D8">
      <w:pPr>
        <w:widowControl w:val="0"/>
        <w:spacing w:after="0" w:line="240" w:lineRule="auto"/>
        <w:jc w:val="both"/>
        <w:rPr>
          <w:rFonts w:ascii="Arial" w:eastAsia="Arial" w:hAnsi="Arial" w:cs="Arial"/>
          <w:lang w:val="en-US"/>
        </w:rPr>
      </w:pPr>
      <w:hyperlink r:id="rId68">
        <w:r w:rsidR="00EC6124" w:rsidRPr="00037AD5">
          <w:rPr>
            <w:rFonts w:ascii="Arial" w:eastAsia="Arial" w:hAnsi="Arial" w:cs="Arial"/>
            <w:color w:val="1155CC"/>
            <w:u w:val="single"/>
            <w:lang w:val="en-US"/>
          </w:rPr>
          <w:t xml:space="preserve">[NAR16] </w:t>
        </w:r>
      </w:hyperlink>
      <w:r w:rsidR="00EC6124" w:rsidRPr="00037AD5">
        <w:rPr>
          <w:rFonts w:ascii="Arial" w:eastAsia="Arial" w:hAnsi="Arial" w:cs="Arial"/>
          <w:lang w:val="en-US"/>
        </w:rPr>
        <w:t xml:space="preserve">B. N. Narozhny </w:t>
      </w:r>
      <w:r w:rsidR="00EC6124" w:rsidRPr="00037AD5">
        <w:rPr>
          <w:rFonts w:ascii="Arial" w:eastAsia="Arial" w:hAnsi="Arial" w:cs="Arial"/>
          <w:i/>
          <w:lang w:val="en-US"/>
        </w:rPr>
        <w:t>et al.</w:t>
      </w:r>
      <w:r w:rsidR="00EC6124" w:rsidRPr="00037AD5">
        <w:rPr>
          <w:rFonts w:ascii="Arial" w:eastAsia="Arial" w:hAnsi="Arial" w:cs="Arial"/>
          <w:lang w:val="en-US"/>
        </w:rPr>
        <w:t xml:space="preserve"> Rev. Mod. Phys. </w:t>
      </w:r>
      <w:r w:rsidR="00EC6124" w:rsidRPr="00037AD5">
        <w:rPr>
          <w:rFonts w:ascii="Arial" w:eastAsia="Arial" w:hAnsi="Arial" w:cs="Arial"/>
          <w:b/>
          <w:lang w:val="en-US"/>
        </w:rPr>
        <w:t>88</w:t>
      </w:r>
      <w:r w:rsidR="00EC6124" w:rsidRPr="00037AD5">
        <w:rPr>
          <w:rFonts w:ascii="Arial" w:eastAsia="Arial" w:hAnsi="Arial" w:cs="Arial"/>
          <w:lang w:val="en-US"/>
        </w:rPr>
        <w:t xml:space="preserve"> 025003 (2016).</w:t>
      </w:r>
    </w:p>
    <w:p w14:paraId="62EBDD7E" w14:textId="77777777" w:rsidR="00134B9E" w:rsidRDefault="002645D8">
      <w:pPr>
        <w:widowControl w:val="0"/>
        <w:spacing w:after="0" w:line="240" w:lineRule="auto"/>
        <w:jc w:val="both"/>
        <w:rPr>
          <w:rFonts w:ascii="Arial" w:eastAsia="Arial" w:hAnsi="Arial" w:cs="Arial"/>
        </w:rPr>
      </w:pPr>
      <w:hyperlink r:id="rId69">
        <w:r w:rsidR="00EC6124">
          <w:rPr>
            <w:rFonts w:ascii="Arial" w:eastAsia="Arial" w:hAnsi="Arial" w:cs="Arial"/>
            <w:color w:val="1155CC"/>
            <w:u w:val="single"/>
          </w:rPr>
          <w:t>[NAR22]</w:t>
        </w:r>
      </w:hyperlink>
      <w:r w:rsidR="00EC6124">
        <w:rPr>
          <w:rFonts w:ascii="Arial" w:eastAsia="Arial" w:hAnsi="Arial" w:cs="Arial"/>
        </w:rPr>
        <w:t xml:space="preserve"> B. N. Nazozhny. Riv. Nuovo Cimento  </w:t>
      </w:r>
      <w:r w:rsidR="00EC6124">
        <w:rPr>
          <w:rFonts w:ascii="Arial" w:eastAsia="Arial" w:hAnsi="Arial" w:cs="Arial"/>
          <w:b/>
        </w:rPr>
        <w:t>45</w:t>
      </w:r>
      <w:r w:rsidR="00EC6124">
        <w:rPr>
          <w:rFonts w:ascii="Arial" w:eastAsia="Arial" w:hAnsi="Arial" w:cs="Arial"/>
        </w:rPr>
        <w:t>, 661 (2022).</w:t>
      </w:r>
    </w:p>
    <w:p w14:paraId="0D9D1746" w14:textId="77777777" w:rsidR="00134B9E" w:rsidRPr="00037AD5" w:rsidRDefault="002645D8">
      <w:pPr>
        <w:widowControl w:val="0"/>
        <w:spacing w:after="0" w:line="240" w:lineRule="auto"/>
        <w:jc w:val="both"/>
        <w:rPr>
          <w:rFonts w:ascii="Arial" w:eastAsia="Arial" w:hAnsi="Arial" w:cs="Arial"/>
          <w:lang w:val="en-US"/>
        </w:rPr>
      </w:pPr>
      <w:hyperlink r:id="rId70">
        <w:r w:rsidR="00EC6124">
          <w:rPr>
            <w:rFonts w:ascii="Arial" w:eastAsia="Arial" w:hAnsi="Arial" w:cs="Arial"/>
            <w:color w:val="1155CC"/>
            <w:u w:val="single"/>
          </w:rPr>
          <w:t>[PAL24]</w:t>
        </w:r>
      </w:hyperlink>
      <w:r w:rsidR="00EC6124">
        <w:rPr>
          <w:rFonts w:ascii="Arial" w:eastAsia="Arial" w:hAnsi="Arial" w:cs="Arial"/>
        </w:rPr>
        <w:t xml:space="preserve"> M. L. Palm </w:t>
      </w:r>
      <w:r w:rsidR="00EC6124">
        <w:rPr>
          <w:rFonts w:ascii="Arial" w:eastAsia="Arial" w:hAnsi="Arial" w:cs="Arial"/>
          <w:i/>
        </w:rPr>
        <w:t xml:space="preserve">et al. </w:t>
      </w:r>
      <w:r w:rsidR="00EC6124" w:rsidRPr="00037AD5">
        <w:rPr>
          <w:rFonts w:ascii="Arial" w:eastAsia="Arial" w:hAnsi="Arial" w:cs="Arial"/>
          <w:lang w:val="en-US"/>
        </w:rPr>
        <w:t xml:space="preserve">Science </w:t>
      </w:r>
      <w:r w:rsidR="00EC6124" w:rsidRPr="00037AD5">
        <w:rPr>
          <w:rFonts w:ascii="Arial" w:eastAsia="Arial" w:hAnsi="Arial" w:cs="Arial"/>
          <w:b/>
          <w:lang w:val="en-US"/>
        </w:rPr>
        <w:t>384</w:t>
      </w:r>
      <w:r w:rsidR="00EC6124" w:rsidRPr="00037AD5">
        <w:rPr>
          <w:rFonts w:ascii="Arial" w:eastAsia="Arial" w:hAnsi="Arial" w:cs="Arial"/>
          <w:lang w:val="en-US"/>
        </w:rPr>
        <w:t>, 465 (2024).</w:t>
      </w:r>
    </w:p>
    <w:p w14:paraId="5E928C81" w14:textId="77777777" w:rsidR="00134B9E" w:rsidRPr="00037AD5" w:rsidRDefault="002645D8">
      <w:pPr>
        <w:widowControl w:val="0"/>
        <w:spacing w:after="0" w:line="240" w:lineRule="auto"/>
        <w:jc w:val="both"/>
        <w:rPr>
          <w:rFonts w:ascii="Arial" w:eastAsia="Arial" w:hAnsi="Arial" w:cs="Arial"/>
          <w:lang w:val="en-US"/>
        </w:rPr>
      </w:pPr>
      <w:hyperlink r:id="rId71">
        <w:r w:rsidR="00EC6124" w:rsidRPr="00037AD5">
          <w:rPr>
            <w:rFonts w:ascii="Arial" w:eastAsia="Arial" w:hAnsi="Arial" w:cs="Arial"/>
            <w:color w:val="1155CC"/>
            <w:u w:val="single"/>
            <w:lang w:val="en-US"/>
          </w:rPr>
          <w:t>[POL20]</w:t>
        </w:r>
      </w:hyperlink>
      <w:r w:rsidR="00EC6124" w:rsidRPr="00037AD5">
        <w:rPr>
          <w:rFonts w:ascii="Arial" w:eastAsia="Arial" w:hAnsi="Arial" w:cs="Arial"/>
          <w:lang w:val="en-US"/>
        </w:rPr>
        <w:t xml:space="preserve"> M. Polini and A. K. Geim. Phys. Today </w:t>
      </w:r>
      <w:r w:rsidR="00EC6124" w:rsidRPr="00037AD5">
        <w:rPr>
          <w:rFonts w:ascii="Arial" w:eastAsia="Arial" w:hAnsi="Arial" w:cs="Arial"/>
          <w:b/>
          <w:lang w:val="en-US"/>
        </w:rPr>
        <w:t>73</w:t>
      </w:r>
      <w:r w:rsidR="00EC6124" w:rsidRPr="00037AD5">
        <w:rPr>
          <w:rFonts w:ascii="Arial" w:eastAsia="Arial" w:hAnsi="Arial" w:cs="Arial"/>
          <w:lang w:val="en-US"/>
        </w:rPr>
        <w:t>, 28 (2020).</w:t>
      </w:r>
    </w:p>
    <w:p w14:paraId="372513EB" w14:textId="77777777" w:rsidR="00134B9E" w:rsidRPr="00037AD5" w:rsidRDefault="002645D8">
      <w:pPr>
        <w:widowControl w:val="0"/>
        <w:spacing w:after="0" w:line="240" w:lineRule="auto"/>
        <w:jc w:val="both"/>
        <w:rPr>
          <w:rFonts w:ascii="Arial" w:eastAsia="Arial" w:hAnsi="Arial" w:cs="Arial"/>
          <w:lang w:val="en-US"/>
        </w:rPr>
      </w:pPr>
      <w:hyperlink r:id="rId72">
        <w:r w:rsidR="00EC6124">
          <w:rPr>
            <w:rFonts w:ascii="Arial" w:eastAsia="Arial" w:hAnsi="Arial" w:cs="Arial"/>
            <w:color w:val="1155CC"/>
            <w:u w:val="single"/>
          </w:rPr>
          <w:t>[SAL24a]</w:t>
        </w:r>
      </w:hyperlink>
      <w:r w:rsidR="00EC6124">
        <w:rPr>
          <w:rFonts w:ascii="Arial" w:eastAsia="Arial" w:hAnsi="Arial" w:cs="Arial"/>
        </w:rPr>
        <w:t xml:space="preserve"> J. Salvador-Sánchez </w:t>
      </w:r>
      <w:r w:rsidR="00EC6124">
        <w:rPr>
          <w:rFonts w:ascii="Arial" w:eastAsia="Arial" w:hAnsi="Arial" w:cs="Arial"/>
          <w:i/>
        </w:rPr>
        <w:t>et al.</w:t>
      </w:r>
      <w:r w:rsidR="00EC6124">
        <w:rPr>
          <w:rFonts w:ascii="Arial" w:eastAsia="Arial" w:hAnsi="Arial" w:cs="Arial"/>
        </w:rPr>
        <w:t xml:space="preserve"> </w:t>
      </w:r>
      <w:r w:rsidR="00EC6124" w:rsidRPr="00037AD5">
        <w:rPr>
          <w:rFonts w:ascii="Arial" w:eastAsia="Arial" w:hAnsi="Arial" w:cs="Arial"/>
          <w:sz w:val="21"/>
          <w:szCs w:val="21"/>
          <w:lang w:val="en-US"/>
        </w:rPr>
        <w:t xml:space="preserve">Phys. Rev. Res. </w:t>
      </w:r>
      <w:r w:rsidR="00EC6124" w:rsidRPr="00037AD5">
        <w:rPr>
          <w:rFonts w:ascii="Arial" w:eastAsia="Arial" w:hAnsi="Arial" w:cs="Arial"/>
          <w:b/>
          <w:sz w:val="21"/>
          <w:szCs w:val="21"/>
          <w:lang w:val="en-US"/>
        </w:rPr>
        <w:t>6</w:t>
      </w:r>
      <w:r w:rsidR="00EC6124" w:rsidRPr="00037AD5">
        <w:rPr>
          <w:rFonts w:ascii="Arial" w:eastAsia="Arial" w:hAnsi="Arial" w:cs="Arial"/>
          <w:sz w:val="21"/>
          <w:szCs w:val="21"/>
          <w:lang w:val="en-US"/>
        </w:rPr>
        <w:t>, 023212</w:t>
      </w:r>
      <w:r w:rsidR="00EC6124" w:rsidRPr="00037AD5">
        <w:rPr>
          <w:rFonts w:ascii="Arial" w:eastAsia="Arial" w:hAnsi="Arial" w:cs="Arial"/>
          <w:lang w:val="en-US"/>
        </w:rPr>
        <w:t xml:space="preserve"> (2024).</w:t>
      </w:r>
    </w:p>
    <w:p w14:paraId="2479FD28" w14:textId="77777777" w:rsidR="00134B9E" w:rsidRPr="00037AD5" w:rsidRDefault="002645D8">
      <w:pPr>
        <w:widowControl w:val="0"/>
        <w:spacing w:after="0" w:line="240" w:lineRule="auto"/>
        <w:jc w:val="both"/>
        <w:rPr>
          <w:rFonts w:ascii="Arial" w:eastAsia="Arial" w:hAnsi="Arial" w:cs="Arial"/>
          <w:lang w:val="en-US"/>
        </w:rPr>
      </w:pPr>
      <w:hyperlink r:id="rId73">
        <w:r w:rsidR="00EC6124" w:rsidRPr="00037AD5">
          <w:rPr>
            <w:rFonts w:ascii="Arial" w:eastAsia="Arial" w:hAnsi="Arial" w:cs="Arial"/>
            <w:color w:val="1155CC"/>
            <w:u w:val="single"/>
            <w:lang w:val="en-US"/>
          </w:rPr>
          <w:t>[SAL24b]</w:t>
        </w:r>
      </w:hyperlink>
      <w:r w:rsidR="00EC6124" w:rsidRPr="00037AD5">
        <w:rPr>
          <w:rFonts w:ascii="Arial" w:eastAsia="Arial" w:hAnsi="Arial" w:cs="Arial"/>
          <w:lang w:val="en-US"/>
        </w:rPr>
        <w:t xml:space="preserve"> J. Salvador-Sánchez </w:t>
      </w:r>
      <w:r w:rsidR="00EC6124" w:rsidRPr="00037AD5">
        <w:rPr>
          <w:rFonts w:ascii="Arial" w:eastAsia="Arial" w:hAnsi="Arial" w:cs="Arial"/>
          <w:i/>
          <w:lang w:val="en-US"/>
        </w:rPr>
        <w:t>et al.</w:t>
      </w:r>
      <w:r w:rsidR="00EC6124" w:rsidRPr="00037AD5">
        <w:rPr>
          <w:rFonts w:ascii="Arial" w:eastAsia="Arial" w:hAnsi="Arial" w:cs="Arial"/>
          <w:lang w:val="en-US"/>
        </w:rPr>
        <w:t xml:space="preserve"> </w:t>
      </w:r>
      <w:r w:rsidR="00EC6124" w:rsidRPr="00037AD5">
        <w:rPr>
          <w:rFonts w:ascii="Arial" w:eastAsia="Arial" w:hAnsi="Arial" w:cs="Arial"/>
          <w:sz w:val="21"/>
          <w:szCs w:val="21"/>
          <w:lang w:val="en-US"/>
        </w:rPr>
        <w:t xml:space="preserve">Eur. Phys. J. Plus. </w:t>
      </w:r>
      <w:r w:rsidR="00EC6124" w:rsidRPr="00037AD5">
        <w:rPr>
          <w:rFonts w:ascii="Arial" w:eastAsia="Arial" w:hAnsi="Arial" w:cs="Arial"/>
          <w:b/>
          <w:sz w:val="21"/>
          <w:szCs w:val="21"/>
          <w:lang w:val="en-US"/>
        </w:rPr>
        <w:t>139</w:t>
      </w:r>
      <w:r w:rsidR="00EC6124" w:rsidRPr="00037AD5">
        <w:rPr>
          <w:rFonts w:ascii="Arial" w:eastAsia="Arial" w:hAnsi="Arial" w:cs="Arial"/>
          <w:sz w:val="21"/>
          <w:szCs w:val="21"/>
          <w:lang w:val="en-US"/>
        </w:rPr>
        <w:t>, 1</w:t>
      </w:r>
      <w:r w:rsidR="00EC6124" w:rsidRPr="00037AD5">
        <w:rPr>
          <w:rFonts w:ascii="Arial" w:eastAsia="Arial" w:hAnsi="Arial" w:cs="Arial"/>
          <w:lang w:val="en-US"/>
        </w:rPr>
        <w:t xml:space="preserve"> (2024).</w:t>
      </w:r>
    </w:p>
    <w:p w14:paraId="76F1B8C0" w14:textId="77777777" w:rsidR="00134B9E" w:rsidRPr="00037AD5" w:rsidRDefault="002645D8">
      <w:pPr>
        <w:widowControl w:val="0"/>
        <w:spacing w:after="0" w:line="240" w:lineRule="auto"/>
        <w:jc w:val="both"/>
        <w:rPr>
          <w:rFonts w:ascii="Arial" w:eastAsia="Arial" w:hAnsi="Arial" w:cs="Arial"/>
          <w:lang w:val="en-US"/>
        </w:rPr>
      </w:pPr>
      <w:hyperlink r:id="rId74">
        <w:r w:rsidR="00EC6124" w:rsidRPr="00037AD5">
          <w:rPr>
            <w:rFonts w:ascii="Arial" w:eastAsia="Arial" w:hAnsi="Arial" w:cs="Arial"/>
            <w:color w:val="1155CC"/>
            <w:u w:val="single"/>
            <w:lang w:val="en-US"/>
          </w:rPr>
          <w:t>[SCH24]</w:t>
        </w:r>
      </w:hyperlink>
      <w:r w:rsidR="00EC6124" w:rsidRPr="00037AD5">
        <w:rPr>
          <w:rFonts w:ascii="Arial" w:eastAsia="Arial" w:hAnsi="Arial" w:cs="Arial"/>
          <w:lang w:val="en-US"/>
        </w:rPr>
        <w:t xml:space="preserve"> T. Schmaltz </w:t>
      </w:r>
      <w:r w:rsidR="00EC6124" w:rsidRPr="00037AD5">
        <w:rPr>
          <w:rFonts w:ascii="Arial" w:eastAsia="Arial" w:hAnsi="Arial" w:cs="Arial"/>
          <w:i/>
          <w:lang w:val="en-US"/>
        </w:rPr>
        <w:t>et al.</w:t>
      </w:r>
      <w:r w:rsidR="00EC6124" w:rsidRPr="00037AD5">
        <w:rPr>
          <w:rFonts w:ascii="Arial" w:eastAsia="Arial" w:hAnsi="Arial" w:cs="Arial"/>
          <w:lang w:val="en-US"/>
        </w:rPr>
        <w:t xml:space="preserve"> 2D Mater. </w:t>
      </w:r>
      <w:r w:rsidR="00EC6124" w:rsidRPr="00037AD5">
        <w:rPr>
          <w:rFonts w:ascii="Arial" w:eastAsia="Arial" w:hAnsi="Arial" w:cs="Arial"/>
          <w:b/>
          <w:lang w:val="en-US"/>
        </w:rPr>
        <w:t>11</w:t>
      </w:r>
      <w:r w:rsidR="00EC6124" w:rsidRPr="00037AD5">
        <w:rPr>
          <w:rFonts w:ascii="Arial" w:eastAsia="Arial" w:hAnsi="Arial" w:cs="Arial"/>
          <w:lang w:val="en-US"/>
        </w:rPr>
        <w:t xml:space="preserve"> 022002 (2024).</w:t>
      </w:r>
    </w:p>
    <w:p w14:paraId="32499A0F" w14:textId="77777777" w:rsidR="00134B9E" w:rsidRPr="00037AD5" w:rsidRDefault="002645D8">
      <w:pPr>
        <w:widowControl w:val="0"/>
        <w:spacing w:after="0" w:line="240" w:lineRule="auto"/>
        <w:jc w:val="both"/>
        <w:rPr>
          <w:rFonts w:ascii="Arial" w:eastAsia="Arial" w:hAnsi="Arial" w:cs="Arial"/>
          <w:lang w:val="en-US"/>
        </w:rPr>
      </w:pPr>
      <w:hyperlink r:id="rId75">
        <w:r w:rsidR="00EC6124" w:rsidRPr="00037AD5">
          <w:rPr>
            <w:rFonts w:ascii="Arial" w:eastAsia="Arial" w:hAnsi="Arial" w:cs="Arial"/>
            <w:color w:val="1155CC"/>
            <w:u w:val="single"/>
            <w:lang w:val="en-US"/>
          </w:rPr>
          <w:t>[STE22]</w:t>
        </w:r>
      </w:hyperlink>
      <w:r w:rsidR="00EC6124" w:rsidRPr="00037AD5">
        <w:rPr>
          <w:rFonts w:ascii="Arial" w:eastAsia="Arial" w:hAnsi="Arial" w:cs="Arial"/>
          <w:lang w:val="en-US"/>
        </w:rPr>
        <w:t xml:space="preserve"> A. Stern </w:t>
      </w:r>
      <w:r w:rsidR="00EC6124" w:rsidRPr="00037AD5">
        <w:rPr>
          <w:rFonts w:ascii="Arial" w:eastAsia="Arial" w:hAnsi="Arial" w:cs="Arial"/>
          <w:i/>
          <w:lang w:val="en-US"/>
        </w:rPr>
        <w:t>et al.</w:t>
      </w:r>
      <w:r w:rsidR="00EC6124" w:rsidRPr="00037AD5">
        <w:rPr>
          <w:rFonts w:ascii="Arial" w:eastAsia="Arial" w:hAnsi="Arial" w:cs="Arial"/>
          <w:lang w:val="en-US"/>
        </w:rPr>
        <w:t xml:space="preserve"> Phys. Rev. Lett. </w:t>
      </w:r>
      <w:r w:rsidR="00EC6124" w:rsidRPr="00037AD5">
        <w:rPr>
          <w:rFonts w:ascii="Arial" w:eastAsia="Arial" w:hAnsi="Arial" w:cs="Arial"/>
          <w:b/>
          <w:lang w:val="en-US"/>
        </w:rPr>
        <w:t>129</w:t>
      </w:r>
      <w:r w:rsidR="00EC6124" w:rsidRPr="00037AD5">
        <w:rPr>
          <w:rFonts w:ascii="Arial" w:eastAsia="Arial" w:hAnsi="Arial" w:cs="Arial"/>
          <w:lang w:val="en-US"/>
        </w:rPr>
        <w:t>, 157701 (2022).</w:t>
      </w:r>
    </w:p>
    <w:p w14:paraId="4CA7F21D" w14:textId="77777777" w:rsidR="00134B9E" w:rsidRPr="00037AD5" w:rsidRDefault="002645D8">
      <w:pPr>
        <w:widowControl w:val="0"/>
        <w:spacing w:after="0" w:line="240" w:lineRule="auto"/>
        <w:jc w:val="both"/>
        <w:rPr>
          <w:rFonts w:ascii="Arial" w:eastAsia="Arial" w:hAnsi="Arial" w:cs="Arial"/>
          <w:lang w:val="en-US"/>
        </w:rPr>
      </w:pPr>
      <w:hyperlink r:id="rId76">
        <w:r w:rsidR="00EC6124" w:rsidRPr="00037AD5">
          <w:rPr>
            <w:rFonts w:ascii="Arial" w:eastAsia="Arial" w:hAnsi="Arial" w:cs="Arial"/>
            <w:color w:val="1155CC"/>
            <w:u w:val="single"/>
            <w:lang w:val="en-US"/>
          </w:rPr>
          <w:t>[SUL19]</w:t>
        </w:r>
      </w:hyperlink>
      <w:r w:rsidR="00EC6124" w:rsidRPr="00037AD5">
        <w:rPr>
          <w:rFonts w:ascii="Arial" w:eastAsia="Arial" w:hAnsi="Arial" w:cs="Arial"/>
          <w:lang w:val="en-US"/>
        </w:rPr>
        <w:t xml:space="preserve"> J. Sulpizo </w:t>
      </w:r>
      <w:r w:rsidR="00EC6124" w:rsidRPr="00037AD5">
        <w:rPr>
          <w:rFonts w:ascii="Arial" w:eastAsia="Arial" w:hAnsi="Arial" w:cs="Arial"/>
          <w:i/>
          <w:lang w:val="en-US"/>
        </w:rPr>
        <w:t>et al.</w:t>
      </w:r>
      <w:r w:rsidR="00EC6124" w:rsidRPr="00037AD5">
        <w:rPr>
          <w:rFonts w:ascii="Arial" w:eastAsia="Arial" w:hAnsi="Arial" w:cs="Arial"/>
          <w:lang w:val="en-US"/>
        </w:rPr>
        <w:t xml:space="preserve"> Nature </w:t>
      </w:r>
      <w:r w:rsidR="00EC6124" w:rsidRPr="00037AD5">
        <w:rPr>
          <w:rFonts w:ascii="Arial" w:eastAsia="Arial" w:hAnsi="Arial" w:cs="Arial"/>
          <w:b/>
          <w:lang w:val="en-US"/>
        </w:rPr>
        <w:t>576</w:t>
      </w:r>
      <w:r w:rsidR="00EC6124" w:rsidRPr="00037AD5">
        <w:rPr>
          <w:rFonts w:ascii="Arial" w:eastAsia="Arial" w:hAnsi="Arial" w:cs="Arial"/>
          <w:lang w:val="en-US"/>
        </w:rPr>
        <w:t>, 75 (2019).</w:t>
      </w:r>
    </w:p>
    <w:p w14:paraId="62001302" w14:textId="77777777" w:rsidR="00134B9E" w:rsidRPr="00037AD5" w:rsidRDefault="002645D8">
      <w:pPr>
        <w:widowControl w:val="0"/>
        <w:spacing w:after="0" w:line="240" w:lineRule="auto"/>
        <w:jc w:val="both"/>
        <w:rPr>
          <w:rFonts w:ascii="Arial" w:eastAsia="Arial" w:hAnsi="Arial" w:cs="Arial"/>
          <w:lang w:val="en-US"/>
        </w:rPr>
      </w:pPr>
      <w:hyperlink r:id="rId77">
        <w:r w:rsidR="00EC6124" w:rsidRPr="00037AD5">
          <w:rPr>
            <w:rFonts w:ascii="Arial" w:eastAsia="Arial" w:hAnsi="Arial" w:cs="Arial"/>
            <w:color w:val="1155CC"/>
            <w:u w:val="single"/>
            <w:lang w:val="en-US"/>
          </w:rPr>
          <w:t>[TWE24]</w:t>
        </w:r>
      </w:hyperlink>
      <w:r w:rsidR="00EC6124" w:rsidRPr="00037AD5">
        <w:rPr>
          <w:rFonts w:ascii="Arial" w:eastAsia="Arial" w:hAnsi="Arial" w:cs="Arial"/>
          <w:lang w:val="en-US"/>
        </w:rPr>
        <w:t xml:space="preserve"> Twenty years of graphene electronics. Nat Electron </w:t>
      </w:r>
      <w:r w:rsidR="00EC6124" w:rsidRPr="00037AD5">
        <w:rPr>
          <w:rFonts w:ascii="Arial" w:eastAsia="Arial" w:hAnsi="Arial" w:cs="Arial"/>
          <w:b/>
          <w:lang w:val="en-US"/>
        </w:rPr>
        <w:t>7</w:t>
      </w:r>
      <w:r w:rsidR="00EC6124" w:rsidRPr="00037AD5">
        <w:rPr>
          <w:rFonts w:ascii="Arial" w:eastAsia="Arial" w:hAnsi="Arial" w:cs="Arial"/>
          <w:lang w:val="en-US"/>
        </w:rPr>
        <w:t>, 843 (2024).</w:t>
      </w:r>
    </w:p>
    <w:p w14:paraId="37E610B7" w14:textId="77777777" w:rsidR="00134B9E" w:rsidRPr="00037AD5" w:rsidRDefault="002645D8">
      <w:pPr>
        <w:widowControl w:val="0"/>
        <w:spacing w:after="0" w:line="240" w:lineRule="auto"/>
        <w:jc w:val="both"/>
        <w:rPr>
          <w:rFonts w:ascii="Arial" w:eastAsia="Arial" w:hAnsi="Arial" w:cs="Arial"/>
          <w:lang w:val="en-US"/>
        </w:rPr>
      </w:pPr>
      <w:hyperlink r:id="rId78">
        <w:r w:rsidR="00EC6124" w:rsidRPr="00037AD5">
          <w:rPr>
            <w:rFonts w:ascii="Arial" w:eastAsia="Arial" w:hAnsi="Arial" w:cs="Arial"/>
            <w:color w:val="1155CC"/>
            <w:u w:val="single"/>
            <w:lang w:val="en-US"/>
          </w:rPr>
          <w:t>[VAR23]</w:t>
        </w:r>
      </w:hyperlink>
      <w:r w:rsidR="00EC6124" w:rsidRPr="00037AD5">
        <w:rPr>
          <w:rFonts w:ascii="Arial" w:eastAsia="Arial" w:hAnsi="Arial" w:cs="Arial"/>
          <w:lang w:val="en-US"/>
        </w:rPr>
        <w:t xml:space="preserve"> G. Varnavides </w:t>
      </w:r>
      <w:r w:rsidR="00EC6124" w:rsidRPr="00037AD5">
        <w:rPr>
          <w:rFonts w:ascii="Arial" w:eastAsia="Arial" w:hAnsi="Arial" w:cs="Arial"/>
          <w:i/>
          <w:lang w:val="en-US"/>
        </w:rPr>
        <w:t>et al.</w:t>
      </w:r>
      <w:r w:rsidR="00EC6124" w:rsidRPr="00037AD5">
        <w:rPr>
          <w:rFonts w:ascii="Arial" w:eastAsia="Arial" w:hAnsi="Arial" w:cs="Arial"/>
          <w:lang w:val="en-US"/>
        </w:rPr>
        <w:t xml:space="preserve"> Nat. Rev. Mat. </w:t>
      </w:r>
      <w:r w:rsidR="00EC6124" w:rsidRPr="00037AD5">
        <w:rPr>
          <w:rFonts w:ascii="Arial" w:eastAsia="Arial" w:hAnsi="Arial" w:cs="Arial"/>
          <w:b/>
          <w:lang w:val="en-US"/>
        </w:rPr>
        <w:t>8</w:t>
      </w:r>
      <w:r w:rsidR="00EC6124" w:rsidRPr="00037AD5">
        <w:rPr>
          <w:rFonts w:ascii="Arial" w:eastAsia="Arial" w:hAnsi="Arial" w:cs="Arial"/>
          <w:lang w:val="en-US"/>
        </w:rPr>
        <w:t>, 726 (2023).</w:t>
      </w:r>
    </w:p>
    <w:p w14:paraId="101BFFEB" w14:textId="77777777" w:rsidR="00134B9E" w:rsidRPr="00037AD5" w:rsidRDefault="002645D8">
      <w:pPr>
        <w:widowControl w:val="0"/>
        <w:spacing w:after="0" w:line="240" w:lineRule="auto"/>
        <w:jc w:val="both"/>
        <w:rPr>
          <w:rFonts w:ascii="Arial" w:eastAsia="Arial" w:hAnsi="Arial" w:cs="Arial"/>
          <w:lang w:val="en-US"/>
        </w:rPr>
      </w:pPr>
      <w:hyperlink r:id="rId79">
        <w:r w:rsidR="00EC6124" w:rsidRPr="00037AD5">
          <w:rPr>
            <w:rFonts w:ascii="Arial" w:eastAsia="Arial" w:hAnsi="Arial" w:cs="Arial"/>
            <w:color w:val="1155CC"/>
            <w:u w:val="single"/>
            <w:lang w:val="en-US"/>
          </w:rPr>
          <w:t>[VOO21]</w:t>
        </w:r>
      </w:hyperlink>
      <w:r w:rsidR="00EC6124" w:rsidRPr="00037AD5">
        <w:rPr>
          <w:rFonts w:ascii="Arial" w:eastAsia="Arial" w:hAnsi="Arial" w:cs="Arial"/>
          <w:lang w:val="en-US"/>
        </w:rPr>
        <w:t xml:space="preserve"> U. Vool </w:t>
      </w:r>
      <w:r w:rsidR="00EC6124" w:rsidRPr="00037AD5">
        <w:rPr>
          <w:rFonts w:ascii="Arial" w:eastAsia="Arial" w:hAnsi="Arial" w:cs="Arial"/>
          <w:i/>
          <w:lang w:val="en-US"/>
        </w:rPr>
        <w:t xml:space="preserve">et al. </w:t>
      </w:r>
      <w:r w:rsidR="00EC6124" w:rsidRPr="00037AD5">
        <w:rPr>
          <w:rFonts w:ascii="Arial" w:eastAsia="Arial" w:hAnsi="Arial" w:cs="Arial"/>
          <w:lang w:val="en-US"/>
        </w:rPr>
        <w:t xml:space="preserve">Nat. Phys. </w:t>
      </w:r>
      <w:r w:rsidR="00EC6124" w:rsidRPr="00037AD5">
        <w:rPr>
          <w:rFonts w:ascii="Arial" w:eastAsia="Arial" w:hAnsi="Arial" w:cs="Arial"/>
          <w:b/>
          <w:lang w:val="en-US"/>
        </w:rPr>
        <w:t>17</w:t>
      </w:r>
      <w:r w:rsidR="00EC6124" w:rsidRPr="00037AD5">
        <w:rPr>
          <w:rFonts w:ascii="Arial" w:eastAsia="Arial" w:hAnsi="Arial" w:cs="Arial"/>
          <w:lang w:val="en-US"/>
        </w:rPr>
        <w:t xml:space="preserve">, 1216 (2021). </w:t>
      </w:r>
    </w:p>
    <w:p w14:paraId="1D35A022" w14:textId="77777777" w:rsidR="00134B9E" w:rsidRPr="00037AD5" w:rsidRDefault="002645D8">
      <w:pPr>
        <w:widowControl w:val="0"/>
        <w:spacing w:after="0" w:line="240" w:lineRule="auto"/>
        <w:jc w:val="both"/>
        <w:rPr>
          <w:rFonts w:ascii="Arial" w:eastAsia="Arial" w:hAnsi="Arial" w:cs="Arial"/>
          <w:lang w:val="en-US"/>
        </w:rPr>
      </w:pPr>
      <w:hyperlink r:id="rId80">
        <w:r w:rsidR="00EC6124" w:rsidRPr="00037AD5">
          <w:rPr>
            <w:rFonts w:ascii="Arial" w:eastAsia="Arial" w:hAnsi="Arial" w:cs="Arial"/>
            <w:color w:val="1155CC"/>
            <w:u w:val="single"/>
            <w:lang w:val="en-US"/>
          </w:rPr>
          <w:t>[WER25]</w:t>
        </w:r>
      </w:hyperlink>
      <w:r w:rsidR="00EC6124" w:rsidRPr="00037AD5">
        <w:rPr>
          <w:rFonts w:ascii="Arial" w:eastAsia="Arial" w:hAnsi="Arial" w:cs="Arial"/>
          <w:lang w:val="en-US"/>
        </w:rPr>
        <w:t xml:space="preserve"> T. Werkmeister </w:t>
      </w:r>
      <w:r w:rsidR="00EC6124" w:rsidRPr="00037AD5">
        <w:rPr>
          <w:rFonts w:ascii="Arial" w:eastAsia="Arial" w:hAnsi="Arial" w:cs="Arial"/>
          <w:i/>
          <w:lang w:val="en-US"/>
        </w:rPr>
        <w:t>et al.</w:t>
      </w:r>
      <w:r w:rsidR="00EC6124" w:rsidRPr="00037AD5">
        <w:rPr>
          <w:rFonts w:ascii="Arial" w:eastAsia="Arial" w:hAnsi="Arial" w:cs="Arial"/>
          <w:lang w:val="en-US"/>
        </w:rPr>
        <w:t xml:space="preserve"> Science 388, 730 (2025).</w:t>
      </w:r>
    </w:p>
    <w:p w14:paraId="2D4CEFF3" w14:textId="77777777" w:rsidR="00134B9E" w:rsidRPr="00037AD5" w:rsidRDefault="002645D8">
      <w:pPr>
        <w:widowControl w:val="0"/>
        <w:spacing w:after="0"/>
        <w:jc w:val="both"/>
        <w:rPr>
          <w:rFonts w:ascii="Arial" w:eastAsia="Arial" w:hAnsi="Arial" w:cs="Arial"/>
          <w:lang w:val="en-US"/>
        </w:rPr>
      </w:pPr>
      <w:hyperlink r:id="rId81">
        <w:r w:rsidR="00EC6124" w:rsidRPr="00037AD5">
          <w:rPr>
            <w:rFonts w:ascii="Arial" w:eastAsia="Arial" w:hAnsi="Arial" w:cs="Arial"/>
            <w:color w:val="1155CC"/>
            <w:u w:val="single"/>
            <w:lang w:val="en-US"/>
          </w:rPr>
          <w:t>[ZHA23]</w:t>
        </w:r>
      </w:hyperlink>
      <w:hyperlink r:id="rId82">
        <w:r w:rsidR="00EC6124" w:rsidRPr="00037AD5">
          <w:rPr>
            <w:color w:val="1155CC"/>
            <w:u w:val="single"/>
            <w:lang w:val="en-US"/>
          </w:rPr>
          <w:t xml:space="preserve"> </w:t>
        </w:r>
      </w:hyperlink>
      <w:r w:rsidR="00EC6124" w:rsidRPr="00037AD5">
        <w:rPr>
          <w:rFonts w:ascii="Arial" w:eastAsia="Arial" w:hAnsi="Arial" w:cs="Arial"/>
          <w:lang w:val="en-US"/>
        </w:rPr>
        <w:t>W. Zhao</w:t>
      </w:r>
      <w:r w:rsidR="00EC6124" w:rsidRPr="00037AD5">
        <w:rPr>
          <w:rFonts w:ascii="Arial" w:eastAsia="Arial" w:hAnsi="Arial" w:cs="Arial"/>
          <w:i/>
          <w:lang w:val="en-US"/>
        </w:rPr>
        <w:t xml:space="preserve"> et al.</w:t>
      </w:r>
      <w:r w:rsidR="00EC6124" w:rsidRPr="00037AD5">
        <w:rPr>
          <w:rFonts w:ascii="Arial" w:eastAsia="Arial" w:hAnsi="Arial" w:cs="Arial"/>
          <w:lang w:val="en-US"/>
        </w:rPr>
        <w:t xml:space="preserve"> Nature </w:t>
      </w:r>
      <w:r w:rsidR="00EC6124" w:rsidRPr="00037AD5">
        <w:rPr>
          <w:rFonts w:ascii="Arial" w:eastAsia="Arial" w:hAnsi="Arial" w:cs="Arial"/>
          <w:b/>
          <w:lang w:val="en-US"/>
        </w:rPr>
        <w:t>614</w:t>
      </w:r>
      <w:r w:rsidR="00EC6124" w:rsidRPr="00037AD5">
        <w:rPr>
          <w:rFonts w:ascii="Arial" w:eastAsia="Arial" w:hAnsi="Arial" w:cs="Arial"/>
          <w:lang w:val="en-US"/>
        </w:rPr>
        <w:t>, 688 (2023).</w:t>
      </w:r>
    </w:p>
    <w:p w14:paraId="7B9E0E92" w14:textId="77777777" w:rsidR="00134B9E" w:rsidRPr="00037AD5" w:rsidRDefault="002645D8">
      <w:pPr>
        <w:widowControl w:val="0"/>
        <w:spacing w:after="0" w:line="240" w:lineRule="auto"/>
        <w:jc w:val="both"/>
        <w:rPr>
          <w:rFonts w:ascii="Arial" w:eastAsia="Arial" w:hAnsi="Arial" w:cs="Arial"/>
          <w:lang w:val="en-US"/>
        </w:rPr>
      </w:pPr>
      <w:hyperlink r:id="rId83">
        <w:r w:rsidR="00EC6124" w:rsidRPr="00037AD5">
          <w:rPr>
            <w:rFonts w:ascii="Arial" w:eastAsia="Arial" w:hAnsi="Arial" w:cs="Arial"/>
            <w:color w:val="1155CC"/>
            <w:u w:val="single"/>
            <w:lang w:val="en-US"/>
          </w:rPr>
          <w:t>[ZIB17]</w:t>
        </w:r>
      </w:hyperlink>
      <w:r w:rsidR="00EC6124" w:rsidRPr="00037AD5">
        <w:rPr>
          <w:rFonts w:ascii="Arial" w:eastAsia="Arial" w:hAnsi="Arial" w:cs="Arial"/>
          <w:lang w:val="en-US"/>
        </w:rPr>
        <w:t xml:space="preserve"> A. A. Zibrov </w:t>
      </w:r>
      <w:r w:rsidR="00EC6124" w:rsidRPr="00037AD5">
        <w:rPr>
          <w:rFonts w:ascii="Arial" w:eastAsia="Arial" w:hAnsi="Arial" w:cs="Arial"/>
          <w:i/>
          <w:lang w:val="en-US"/>
        </w:rPr>
        <w:t>et al</w:t>
      </w:r>
      <w:r w:rsidR="00EC6124" w:rsidRPr="00037AD5">
        <w:rPr>
          <w:rFonts w:ascii="Arial" w:eastAsia="Arial" w:hAnsi="Arial" w:cs="Arial"/>
          <w:lang w:val="en-US"/>
        </w:rPr>
        <w:t xml:space="preserve">. Nature </w:t>
      </w:r>
      <w:r w:rsidR="00EC6124" w:rsidRPr="00037AD5">
        <w:rPr>
          <w:rFonts w:ascii="Arial" w:eastAsia="Arial" w:hAnsi="Arial" w:cs="Arial"/>
          <w:b/>
          <w:lang w:val="en-US"/>
        </w:rPr>
        <w:t>549</w:t>
      </w:r>
      <w:r w:rsidR="00EC6124" w:rsidRPr="00037AD5">
        <w:rPr>
          <w:rFonts w:ascii="Arial" w:eastAsia="Arial" w:hAnsi="Arial" w:cs="Arial"/>
          <w:lang w:val="en-US"/>
        </w:rPr>
        <w:t>, 360 (2017).</w:t>
      </w:r>
    </w:p>
    <w:p w14:paraId="40116825" w14:textId="77777777" w:rsidR="00134B9E" w:rsidRPr="00037AD5" w:rsidRDefault="00134B9E">
      <w:pPr>
        <w:rPr>
          <w:lang w:val="en-US"/>
        </w:rPr>
      </w:pPr>
    </w:p>
    <w:p w14:paraId="76D537FE" w14:textId="77777777" w:rsidR="00134B9E" w:rsidRPr="00037AD5" w:rsidRDefault="00EC6124">
      <w:pPr>
        <w:rPr>
          <w:rFonts w:ascii="Arial" w:eastAsia="Arial" w:hAnsi="Arial" w:cs="Arial"/>
          <w:b/>
          <w:lang w:val="en-US"/>
        </w:rPr>
      </w:pPr>
      <w:r w:rsidRPr="00037AD5">
        <w:rPr>
          <w:rFonts w:ascii="Arial" w:eastAsia="Arial" w:hAnsi="Arial" w:cs="Arial"/>
          <w:b/>
          <w:lang w:val="en-US"/>
        </w:rPr>
        <w:lastRenderedPageBreak/>
        <w:t>11. Letters of support</w:t>
      </w:r>
    </w:p>
    <w:p w14:paraId="6CD20255" w14:textId="77777777" w:rsidR="00134B9E" w:rsidRPr="00037AD5" w:rsidRDefault="00EC6124">
      <w:pPr>
        <w:jc w:val="center"/>
        <w:rPr>
          <w:rFonts w:ascii="Arial" w:eastAsia="Arial" w:hAnsi="Arial" w:cs="Arial"/>
          <w:lang w:val="en-US"/>
        </w:rPr>
      </w:pPr>
      <w:r w:rsidRPr="00037AD5">
        <w:rPr>
          <w:rFonts w:ascii="Arial" w:eastAsia="Arial" w:hAnsi="Arial" w:cs="Arial"/>
          <w:lang w:val="en-US"/>
        </w:rPr>
        <w:t xml:space="preserve">Letter of support from the </w:t>
      </w:r>
      <w:hyperlink r:id="rId84">
        <w:r w:rsidRPr="00037AD5">
          <w:rPr>
            <w:rFonts w:ascii="Arial" w:eastAsia="Arial" w:hAnsi="Arial" w:cs="Arial"/>
            <w:color w:val="1155CC"/>
            <w:u w:val="single"/>
            <w:lang w:val="en-US"/>
          </w:rPr>
          <w:t>Center Coordinator</w:t>
        </w:r>
      </w:hyperlink>
      <w:r w:rsidRPr="00037AD5">
        <w:rPr>
          <w:rFonts w:ascii="Arial" w:eastAsia="Arial" w:hAnsi="Arial" w:cs="Arial"/>
          <w:lang w:val="en-US"/>
        </w:rPr>
        <w:t xml:space="preserve"> of </w:t>
      </w:r>
      <w:hyperlink r:id="rId85">
        <w:r w:rsidRPr="00037AD5">
          <w:rPr>
            <w:rFonts w:ascii="Arial" w:eastAsia="Arial" w:hAnsi="Arial" w:cs="Arial"/>
            <w:color w:val="1155CC"/>
            <w:u w:val="single"/>
            <w:lang w:val="en-US"/>
          </w:rPr>
          <w:t>Istituto Italiano di Tecnologia</w:t>
        </w:r>
      </w:hyperlink>
    </w:p>
    <w:p w14:paraId="4FB068D8" w14:textId="77777777" w:rsidR="00134B9E" w:rsidRPr="00037AD5" w:rsidRDefault="00EC6124">
      <w:pPr>
        <w:jc w:val="center"/>
        <w:rPr>
          <w:rFonts w:ascii="Arial" w:eastAsia="Arial" w:hAnsi="Arial" w:cs="Arial"/>
          <w:lang w:val="en-US"/>
        </w:rPr>
      </w:pPr>
      <w:r w:rsidRPr="00037AD5">
        <w:rPr>
          <w:rFonts w:ascii="Arial" w:eastAsia="Arial" w:hAnsi="Arial" w:cs="Arial"/>
          <w:lang w:val="en-US"/>
        </w:rPr>
        <w:t xml:space="preserve">Letter of support from the CEO of </w:t>
      </w:r>
      <w:hyperlink r:id="rId86">
        <w:r w:rsidRPr="00037AD5">
          <w:rPr>
            <w:rFonts w:ascii="Arial" w:eastAsia="Arial" w:hAnsi="Arial" w:cs="Arial"/>
            <w:color w:val="1155CC"/>
            <w:u w:val="single"/>
            <w:lang w:val="en-US"/>
          </w:rPr>
          <w:t>LeapWave Technologies</w:t>
        </w:r>
      </w:hyperlink>
    </w:p>
    <w:p w14:paraId="3DB30AF3" w14:textId="77777777" w:rsidR="00134B9E" w:rsidRPr="00037AD5" w:rsidRDefault="00EC6124">
      <w:pPr>
        <w:jc w:val="center"/>
        <w:rPr>
          <w:rFonts w:ascii="Arial" w:eastAsia="Arial" w:hAnsi="Arial" w:cs="Arial"/>
          <w:lang w:val="en-US"/>
        </w:rPr>
      </w:pPr>
      <w:r w:rsidRPr="00037AD5">
        <w:rPr>
          <w:rFonts w:ascii="Arial" w:eastAsia="Arial" w:hAnsi="Arial" w:cs="Arial"/>
          <w:lang w:val="en-US"/>
        </w:rPr>
        <w:t xml:space="preserve">Letter of support from the Head of the Service of DC&amp;Quantum Electrical Metrology at </w:t>
      </w:r>
      <w:hyperlink r:id="rId87">
        <w:r w:rsidRPr="00037AD5">
          <w:rPr>
            <w:rFonts w:ascii="Arial" w:eastAsia="Arial" w:hAnsi="Arial" w:cs="Arial"/>
            <w:color w:val="1155CC"/>
            <w:u w:val="single"/>
            <w:lang w:val="en-US"/>
          </w:rPr>
          <w:t>Spanish Metrology Centre</w:t>
        </w:r>
      </w:hyperlink>
    </w:p>
    <w:p w14:paraId="18B7D602" w14:textId="77777777" w:rsidR="00134B9E" w:rsidRPr="00037AD5" w:rsidRDefault="00134B9E">
      <w:pPr>
        <w:jc w:val="center"/>
        <w:rPr>
          <w:rFonts w:ascii="Arial" w:eastAsia="Arial" w:hAnsi="Arial" w:cs="Arial"/>
          <w:lang w:val="en-US"/>
        </w:rPr>
      </w:pPr>
    </w:p>
    <w:p w14:paraId="5F99DA60" w14:textId="77777777" w:rsidR="00134B9E" w:rsidRDefault="00EC6124">
      <w:pPr>
        <w:rPr>
          <w:rFonts w:ascii="Arial" w:eastAsia="Arial" w:hAnsi="Arial" w:cs="Arial"/>
        </w:rPr>
      </w:pPr>
      <w:r>
        <w:rPr>
          <w:rFonts w:ascii="Arial" w:eastAsia="Arial" w:hAnsi="Arial" w:cs="Arial"/>
        </w:rPr>
        <w:t>(See the following pages)</w:t>
      </w:r>
    </w:p>
    <w:p w14:paraId="2C5B71F0" w14:textId="77777777" w:rsidR="00134B9E" w:rsidRDefault="00EC6124">
      <w:pPr>
        <w:jc w:val="center"/>
        <w:rPr>
          <w:rFonts w:ascii="Arial" w:eastAsia="Arial" w:hAnsi="Arial" w:cs="Arial"/>
        </w:rPr>
      </w:pPr>
      <w:r>
        <w:rPr>
          <w:rFonts w:ascii="Arial" w:eastAsia="Arial" w:hAnsi="Arial" w:cs="Arial"/>
          <w:noProof/>
          <w:lang w:val="en-US"/>
        </w:rPr>
        <w:lastRenderedPageBreak/>
        <w:drawing>
          <wp:inline distT="114300" distB="114300" distL="114300" distR="114300" wp14:anchorId="1A13571F" wp14:editId="7301F9BB">
            <wp:extent cx="5759140" cy="9334500"/>
            <wp:effectExtent l="0" t="0" r="0" b="0"/>
            <wp:docPr id="179467208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8"/>
                    <a:srcRect/>
                    <a:stretch>
                      <a:fillRect/>
                    </a:stretch>
                  </pic:blipFill>
                  <pic:spPr>
                    <a:xfrm>
                      <a:off x="0" y="0"/>
                      <a:ext cx="5759140" cy="9334500"/>
                    </a:xfrm>
                    <a:prstGeom prst="rect">
                      <a:avLst/>
                    </a:prstGeom>
                    <a:ln/>
                  </pic:spPr>
                </pic:pic>
              </a:graphicData>
            </a:graphic>
          </wp:inline>
        </w:drawing>
      </w:r>
    </w:p>
    <w:p w14:paraId="4B2ECE97" w14:textId="77777777" w:rsidR="00134B9E" w:rsidRDefault="00EC6124">
      <w:pPr>
        <w:jc w:val="center"/>
        <w:rPr>
          <w:rFonts w:ascii="Arial" w:eastAsia="Arial" w:hAnsi="Arial" w:cs="Arial"/>
        </w:rPr>
      </w:pPr>
      <w:r>
        <w:rPr>
          <w:rFonts w:ascii="Arial" w:eastAsia="Arial" w:hAnsi="Arial" w:cs="Arial"/>
          <w:noProof/>
          <w:lang w:val="en-US"/>
        </w:rPr>
        <w:lastRenderedPageBreak/>
        <w:drawing>
          <wp:inline distT="114300" distB="114300" distL="114300" distR="114300" wp14:anchorId="2DD660FD" wp14:editId="14538CAD">
            <wp:extent cx="5759140" cy="8382000"/>
            <wp:effectExtent l="0" t="0" r="0" b="0"/>
            <wp:docPr id="179467208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89"/>
                    <a:srcRect/>
                    <a:stretch>
                      <a:fillRect/>
                    </a:stretch>
                  </pic:blipFill>
                  <pic:spPr>
                    <a:xfrm>
                      <a:off x="0" y="0"/>
                      <a:ext cx="5759140" cy="8382000"/>
                    </a:xfrm>
                    <a:prstGeom prst="rect">
                      <a:avLst/>
                    </a:prstGeom>
                    <a:ln/>
                  </pic:spPr>
                </pic:pic>
              </a:graphicData>
            </a:graphic>
          </wp:inline>
        </w:drawing>
      </w:r>
    </w:p>
    <w:p w14:paraId="5DB85EDB" w14:textId="77777777" w:rsidR="00134B9E" w:rsidRDefault="00134B9E">
      <w:pPr>
        <w:jc w:val="center"/>
        <w:rPr>
          <w:rFonts w:ascii="Arial" w:eastAsia="Arial" w:hAnsi="Arial" w:cs="Arial"/>
        </w:rPr>
      </w:pPr>
    </w:p>
    <w:p w14:paraId="051BD5E6" w14:textId="77777777" w:rsidR="00134B9E" w:rsidRDefault="00134B9E">
      <w:pPr>
        <w:jc w:val="center"/>
        <w:rPr>
          <w:rFonts w:ascii="Arial" w:eastAsia="Arial" w:hAnsi="Arial" w:cs="Arial"/>
        </w:rPr>
      </w:pPr>
    </w:p>
    <w:p w14:paraId="17E97FF8" w14:textId="77777777" w:rsidR="00134B9E" w:rsidRDefault="00134B9E">
      <w:pPr>
        <w:jc w:val="center"/>
        <w:rPr>
          <w:rFonts w:ascii="Arial" w:eastAsia="Arial" w:hAnsi="Arial" w:cs="Arial"/>
        </w:rPr>
      </w:pPr>
    </w:p>
    <w:p w14:paraId="73DF1566" w14:textId="77777777" w:rsidR="00134B9E" w:rsidRDefault="00EC6124">
      <w:pPr>
        <w:jc w:val="center"/>
        <w:rPr>
          <w:rFonts w:ascii="Arial" w:eastAsia="Arial" w:hAnsi="Arial" w:cs="Arial"/>
        </w:rPr>
      </w:pPr>
      <w:r>
        <w:rPr>
          <w:rFonts w:ascii="Arial" w:eastAsia="Arial" w:hAnsi="Arial" w:cs="Arial"/>
          <w:noProof/>
          <w:lang w:val="en-US"/>
        </w:rPr>
        <w:drawing>
          <wp:inline distT="114300" distB="114300" distL="114300" distR="114300" wp14:anchorId="64487641" wp14:editId="4AED784D">
            <wp:extent cx="5759140" cy="6565900"/>
            <wp:effectExtent l="0" t="0" r="0" b="0"/>
            <wp:docPr id="179467208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90"/>
                    <a:srcRect/>
                    <a:stretch>
                      <a:fillRect/>
                    </a:stretch>
                  </pic:blipFill>
                  <pic:spPr>
                    <a:xfrm>
                      <a:off x="0" y="0"/>
                      <a:ext cx="5759140" cy="6565900"/>
                    </a:xfrm>
                    <a:prstGeom prst="rect">
                      <a:avLst/>
                    </a:prstGeom>
                    <a:ln/>
                  </pic:spPr>
                </pic:pic>
              </a:graphicData>
            </a:graphic>
          </wp:inline>
        </w:drawing>
      </w:r>
    </w:p>
    <w:sectPr w:rsidR="00134B9E">
      <w:headerReference w:type="default" r:id="rId91"/>
      <w:footerReference w:type="default" r:id="rId92"/>
      <w:headerReference w:type="first" r:id="rId93"/>
      <w:footerReference w:type="first" r:id="rId94"/>
      <w:pgSz w:w="11906" w:h="16838"/>
      <w:pgMar w:top="851" w:right="1418" w:bottom="851" w:left="1418" w:header="0" w:footer="113"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9DC005" w14:textId="77777777" w:rsidR="002645D8" w:rsidRDefault="002645D8">
      <w:pPr>
        <w:spacing w:after="0" w:line="240" w:lineRule="auto"/>
      </w:pPr>
      <w:r>
        <w:separator/>
      </w:r>
    </w:p>
  </w:endnote>
  <w:endnote w:type="continuationSeparator" w:id="0">
    <w:p w14:paraId="0B85126A" w14:textId="77777777" w:rsidR="002645D8" w:rsidRDefault="002645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2F5FAB7-BD70-498D-B187-1C93F806D668}"/>
    <w:embedBold r:id="rId2" w:fontKey="{0BF228AC-15F8-4E28-A89C-ED462D01E976}"/>
  </w:font>
  <w:font w:name="Cambria">
    <w:panose1 w:val="02040503050406030204"/>
    <w:charset w:val="00"/>
    <w:family w:val="roman"/>
    <w:pitch w:val="variable"/>
    <w:sig w:usb0="E00006FF" w:usb1="420024FF" w:usb2="02000000" w:usb3="00000000" w:csb0="0000019F" w:csb1="00000000"/>
    <w:embedRegular r:id="rId3" w:fontKey="{898A0B5D-BA7E-4733-959F-5B9F0964B560}"/>
  </w:font>
  <w:font w:name="Tahoma">
    <w:panose1 w:val="020B0604030504040204"/>
    <w:charset w:val="00"/>
    <w:family w:val="swiss"/>
    <w:pitch w:val="variable"/>
    <w:sig w:usb0="E1002EFF" w:usb1="C000605B" w:usb2="00000029" w:usb3="00000000" w:csb0="000101FF" w:csb1="00000000"/>
    <w:embedRegular r:id="rId4" w:fontKey="{935568C1-9B51-4733-8275-A8C65FB4AA5B}"/>
  </w:font>
  <w:font w:name="Georgia">
    <w:panose1 w:val="02040502050405020303"/>
    <w:charset w:val="00"/>
    <w:family w:val="roman"/>
    <w:pitch w:val="variable"/>
    <w:sig w:usb0="00000287" w:usb1="00000000" w:usb2="00000000" w:usb3="00000000" w:csb0="0000009F" w:csb1="00000000"/>
    <w:embedRegular r:id="rId5" w:fontKey="{E4960FF1-D5F3-4D24-9964-469AF760B2E2}"/>
    <w:embedItalic r:id="rId6" w:fontKey="{FD9C71E8-3B45-475C-91FA-6EC31727FD63}"/>
  </w:font>
  <w:font w:name="Arial Narrow">
    <w:panose1 w:val="020B0606020202030204"/>
    <w:charset w:val="00"/>
    <w:family w:val="swiss"/>
    <w:pitch w:val="variable"/>
    <w:sig w:usb0="00000287" w:usb1="00000800" w:usb2="00000000" w:usb3="00000000" w:csb0="0000009F" w:csb1="00000000"/>
    <w:embedRegular r:id="rId7" w:fontKey="{CEBBF2FB-80ED-414C-B1BD-C4291CB3E5DB}"/>
    <w:embedBold r:id="rId8" w:fontKey="{2498C9F0-1370-49A8-988C-1F61D8E3AC5E}"/>
    <w:embedBoldItalic r:id="rId9" w:fontKey="{AFCD1F57-0437-4978-A73F-FF091736D152}"/>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0" w:fontKey="{7A6AFF32-EBDB-4A70-AA61-19F1F8197225}"/>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F1671F" w14:textId="5130C458" w:rsidR="00134B9E" w:rsidRDefault="00EC6124">
    <w:pPr>
      <w:pBdr>
        <w:top w:val="nil"/>
        <w:left w:val="nil"/>
        <w:bottom w:val="nil"/>
        <w:right w:val="nil"/>
        <w:between w:val="nil"/>
      </w:pBdr>
      <w:tabs>
        <w:tab w:val="center" w:pos="4252"/>
        <w:tab w:val="right" w:pos="8504"/>
      </w:tabs>
      <w:spacing w:after="0" w:line="240" w:lineRule="auto"/>
      <w:jc w:val="center"/>
      <w:rPr>
        <w:color w:val="000000"/>
      </w:rPr>
    </w:pP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1D56AB">
      <w:rPr>
        <w:rFonts w:ascii="Arial" w:eastAsia="Arial" w:hAnsi="Arial" w:cs="Arial"/>
        <w:noProof/>
        <w:color w:val="000000"/>
        <w:sz w:val="16"/>
        <w:szCs w:val="16"/>
      </w:rPr>
      <w:t>33</w:t>
    </w:r>
    <w:r>
      <w:rPr>
        <w:rFonts w:ascii="Arial" w:eastAsia="Arial" w:hAnsi="Arial" w:cs="Arial"/>
        <w:color w:val="000000"/>
        <w:sz w:val="16"/>
        <w:szCs w:val="16"/>
      </w:rPr>
      <w:fldChar w:fldCharType="end"/>
    </w:r>
    <w:r>
      <w:rPr>
        <w:rFonts w:ascii="Arial" w:eastAsia="Arial" w:hAnsi="Arial" w:cs="Arial"/>
        <w:color w:val="000000"/>
        <w:sz w:val="16"/>
        <w:szCs w:val="16"/>
      </w:rPr>
      <w:t xml:space="preserve"> de 35</w:t>
    </w:r>
  </w:p>
  <w:p w14:paraId="0C0DC577" w14:textId="77777777" w:rsidR="00134B9E" w:rsidRDefault="00134B9E">
    <w:pPr>
      <w:pBdr>
        <w:top w:val="nil"/>
        <w:left w:val="nil"/>
        <w:bottom w:val="nil"/>
        <w:right w:val="nil"/>
        <w:between w:val="nil"/>
      </w:pBdr>
      <w:tabs>
        <w:tab w:val="center" w:pos="4252"/>
        <w:tab w:val="right" w:pos="8504"/>
      </w:tabs>
      <w:spacing w:after="0" w:line="240" w:lineRule="auto"/>
      <w:jc w:val="center"/>
      <w:rPr>
        <w:rFonts w:ascii="Arial" w:eastAsia="Arial" w:hAnsi="Arial" w:cs="Arial"/>
        <w:color w:val="000000"/>
        <w:sz w:val="20"/>
        <w:szCs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E5807D" w14:textId="56FB66CF" w:rsidR="00134B9E" w:rsidRDefault="00EC6124">
    <w:pPr>
      <w:pBdr>
        <w:top w:val="nil"/>
        <w:left w:val="nil"/>
        <w:bottom w:val="nil"/>
        <w:right w:val="nil"/>
        <w:between w:val="nil"/>
      </w:pBdr>
      <w:tabs>
        <w:tab w:val="center" w:pos="4252"/>
        <w:tab w:val="right" w:pos="8504"/>
      </w:tabs>
      <w:spacing w:after="0" w:line="240" w:lineRule="auto"/>
      <w:jc w:val="center"/>
      <w:rPr>
        <w:color w:val="000000"/>
      </w:rPr>
    </w:pP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037AD5">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35</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C2661E" w14:textId="77777777" w:rsidR="002645D8" w:rsidRDefault="002645D8">
      <w:pPr>
        <w:spacing w:after="0" w:line="240" w:lineRule="auto"/>
      </w:pPr>
      <w:r>
        <w:separator/>
      </w:r>
    </w:p>
  </w:footnote>
  <w:footnote w:type="continuationSeparator" w:id="0">
    <w:p w14:paraId="362B75B2" w14:textId="77777777" w:rsidR="002645D8" w:rsidRDefault="002645D8">
      <w:pPr>
        <w:spacing w:after="0" w:line="240" w:lineRule="auto"/>
      </w:pPr>
      <w:r>
        <w:continuationSeparator/>
      </w:r>
    </w:p>
  </w:footnote>
  <w:footnote w:id="1">
    <w:p w14:paraId="3D964669" w14:textId="77777777" w:rsidR="00134B9E" w:rsidRPr="00037AD5" w:rsidRDefault="00EC6124">
      <w:pPr>
        <w:spacing w:after="0" w:line="240" w:lineRule="auto"/>
        <w:rPr>
          <w:sz w:val="20"/>
          <w:szCs w:val="20"/>
          <w:lang w:val="en-US"/>
        </w:rPr>
      </w:pPr>
      <w:r>
        <w:rPr>
          <w:vertAlign w:val="superscript"/>
        </w:rPr>
        <w:footnoteRef/>
      </w:r>
      <w:r w:rsidRPr="00037AD5">
        <w:rPr>
          <w:sz w:val="20"/>
          <w:szCs w:val="20"/>
          <w:lang w:val="en-US"/>
        </w:rPr>
        <w:t xml:space="preserve"> References are listed in section 10, at the end of the document.</w:t>
      </w:r>
    </w:p>
  </w:footnote>
  <w:footnote w:id="2">
    <w:p w14:paraId="4917FBBE" w14:textId="77777777" w:rsidR="00134B9E" w:rsidRPr="00037AD5" w:rsidRDefault="00EC6124">
      <w:pPr>
        <w:spacing w:after="0" w:line="240" w:lineRule="auto"/>
        <w:rPr>
          <w:sz w:val="20"/>
          <w:szCs w:val="20"/>
          <w:lang w:val="en-US"/>
        </w:rPr>
      </w:pPr>
      <w:r>
        <w:rPr>
          <w:vertAlign w:val="superscript"/>
        </w:rPr>
        <w:footnoteRef/>
      </w:r>
      <w:r w:rsidRPr="00037AD5">
        <w:rPr>
          <w:sz w:val="20"/>
          <w:szCs w:val="20"/>
          <w:lang w:val="en-US"/>
        </w:rPr>
        <w:t xml:space="preserve"> See letter of support at the end of this document.</w:t>
      </w:r>
    </w:p>
  </w:footnote>
  <w:footnote w:id="3">
    <w:p w14:paraId="38217A72" w14:textId="77777777" w:rsidR="00134B9E" w:rsidRPr="00037AD5" w:rsidRDefault="00EC6124">
      <w:pPr>
        <w:spacing w:after="0" w:line="240" w:lineRule="auto"/>
        <w:rPr>
          <w:sz w:val="20"/>
          <w:szCs w:val="20"/>
          <w:lang w:val="en-US"/>
        </w:rPr>
      </w:pPr>
      <w:r>
        <w:rPr>
          <w:vertAlign w:val="superscript"/>
        </w:rPr>
        <w:footnoteRef/>
      </w:r>
      <w:r w:rsidRPr="00037AD5">
        <w:rPr>
          <w:sz w:val="20"/>
          <w:szCs w:val="20"/>
          <w:lang w:val="en-US"/>
        </w:rPr>
        <w:t xml:space="preserve"> Click on the article ID to access the DOI link.</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04C9A5" w14:textId="77777777" w:rsidR="00134B9E" w:rsidRDefault="00EC6124">
    <w:pPr>
      <w:pBdr>
        <w:top w:val="nil"/>
        <w:left w:val="nil"/>
        <w:bottom w:val="nil"/>
        <w:right w:val="nil"/>
        <w:between w:val="nil"/>
      </w:pBdr>
      <w:tabs>
        <w:tab w:val="center" w:pos="4252"/>
        <w:tab w:val="right" w:pos="8504"/>
        <w:tab w:val="right" w:pos="9070"/>
      </w:tabs>
      <w:spacing w:before="240" w:after="0" w:line="240" w:lineRule="auto"/>
      <w:jc w:val="right"/>
      <w:rPr>
        <w:color w:val="000000"/>
      </w:rPr>
    </w:pPr>
    <w:r>
      <w:rPr>
        <w:color w:val="000000"/>
      </w:rPr>
      <w:tab/>
    </w:r>
    <w:r>
      <w:rPr>
        <w:color w:val="000000"/>
      </w:rPr>
      <w:tab/>
    </w:r>
    <w:r>
      <w:rPr>
        <w:noProof/>
        <w:color w:val="000000"/>
        <w:lang w:val="en-US"/>
      </w:rPr>
      <w:drawing>
        <wp:inline distT="0" distB="0" distL="0" distR="0" wp14:anchorId="78611823" wp14:editId="3FE7FBA3">
          <wp:extent cx="561600" cy="900000"/>
          <wp:effectExtent l="0" t="0" r="0" b="0"/>
          <wp:docPr id="1794672093" name="image2.jpg" descr="Pizarr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jpg" descr="Pizarra&#10;&#10;El contenido generado por IA puede ser incorrecto."/>
                  <pic:cNvPicPr preferRelativeResize="0"/>
                </pic:nvPicPr>
                <pic:blipFill>
                  <a:blip r:embed="rId1"/>
                  <a:srcRect/>
                  <a:stretch>
                    <a:fillRect/>
                  </a:stretch>
                </pic:blipFill>
                <pic:spPr>
                  <a:xfrm>
                    <a:off x="0" y="0"/>
                    <a:ext cx="561600" cy="90000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7C48C2" w14:textId="77777777" w:rsidR="00134B9E" w:rsidRDefault="00EC6124">
    <w:pPr>
      <w:pBdr>
        <w:top w:val="nil"/>
        <w:left w:val="nil"/>
        <w:bottom w:val="nil"/>
        <w:right w:val="nil"/>
        <w:between w:val="nil"/>
      </w:pBdr>
      <w:tabs>
        <w:tab w:val="center" w:pos="4252"/>
        <w:tab w:val="right" w:pos="8504"/>
      </w:tabs>
      <w:spacing w:before="240" w:after="240" w:line="240" w:lineRule="auto"/>
      <w:jc w:val="center"/>
      <w:rPr>
        <w:color w:val="000000"/>
      </w:rPr>
    </w:pPr>
    <w:r>
      <w:rPr>
        <w:noProof/>
        <w:color w:val="000000"/>
        <w:sz w:val="60"/>
        <w:szCs w:val="60"/>
        <w:vertAlign w:val="superscript"/>
        <w:lang w:val="en-US"/>
      </w:rPr>
      <w:drawing>
        <wp:inline distT="0" distB="0" distL="0" distR="0" wp14:anchorId="41AD7F0C" wp14:editId="37EFB93D">
          <wp:extent cx="2473595" cy="739802"/>
          <wp:effectExtent l="0" t="0" r="0" b="0"/>
          <wp:docPr id="1794672096" name="image5.png" descr="V:\SGAEI\RRHH\PERSONAL\00_Documento RRHH\LOGOS_MINISTERIO\horizontal_color_blanco_CIU.png"/>
          <wp:cNvGraphicFramePr/>
          <a:graphic xmlns:a="http://schemas.openxmlformats.org/drawingml/2006/main">
            <a:graphicData uri="http://schemas.openxmlformats.org/drawingml/2006/picture">
              <pic:pic xmlns:pic="http://schemas.openxmlformats.org/drawingml/2006/picture">
                <pic:nvPicPr>
                  <pic:cNvPr id="0" name="image5.png" descr="V:\SGAEI\RRHH\PERSONAL\00_Documento RRHH\LOGOS_MINISTERIO\horizontal_color_blanco_CIU.png"/>
                  <pic:cNvPicPr preferRelativeResize="0"/>
                </pic:nvPicPr>
                <pic:blipFill>
                  <a:blip r:embed="rId1"/>
                  <a:srcRect/>
                  <a:stretch>
                    <a:fillRect/>
                  </a:stretch>
                </pic:blipFill>
                <pic:spPr>
                  <a:xfrm>
                    <a:off x="0" y="0"/>
                    <a:ext cx="2473595" cy="739802"/>
                  </a:xfrm>
                  <a:prstGeom prst="rect">
                    <a:avLst/>
                  </a:prstGeom>
                  <a:ln/>
                </pic:spPr>
              </pic:pic>
            </a:graphicData>
          </a:graphic>
        </wp:inline>
      </w:drawing>
    </w:r>
    <w:r>
      <w:rPr>
        <w:color w:val="000000"/>
      </w:rPr>
      <w:t xml:space="preserve">                                                                   </w:t>
    </w:r>
    <w:r>
      <w:rPr>
        <w:noProof/>
        <w:color w:val="000000"/>
        <w:lang w:val="en-US"/>
      </w:rPr>
      <w:drawing>
        <wp:inline distT="0" distB="0" distL="0" distR="0" wp14:anchorId="02A236C0" wp14:editId="241B1235">
          <wp:extent cx="1164037" cy="825249"/>
          <wp:effectExtent l="0" t="0" r="0" b="0"/>
          <wp:docPr id="1794672095" name="image1.png" descr="Logotipo, nombre de la empres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png" descr="Logotipo, nombre de la empresa&#10;&#10;Descripción generada automáticamente"/>
                  <pic:cNvPicPr preferRelativeResize="0"/>
                </pic:nvPicPr>
                <pic:blipFill>
                  <a:blip r:embed="rId2"/>
                  <a:srcRect/>
                  <a:stretch>
                    <a:fillRect/>
                  </a:stretch>
                </pic:blipFill>
                <pic:spPr>
                  <a:xfrm>
                    <a:off x="0" y="0"/>
                    <a:ext cx="1164037" cy="825249"/>
                  </a:xfrm>
                  <a:prstGeom prst="rect">
                    <a:avLst/>
                  </a:prstGeom>
                  <a:ln/>
                </pic:spPr>
              </pic:pic>
            </a:graphicData>
          </a:graphic>
        </wp:inline>
      </w:drawing>
    </w:r>
    <w:r>
      <w:rPr>
        <w:color w:val="000000"/>
      </w:rP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7C70BCE"/>
    <w:multiLevelType w:val="multilevel"/>
    <w:tmpl w:val="3118AD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ABF0C1A"/>
    <w:multiLevelType w:val="multilevel"/>
    <w:tmpl w:val="F13895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4B9E"/>
    <w:rsid w:val="00037AD5"/>
    <w:rsid w:val="00134B9E"/>
    <w:rsid w:val="001D56AB"/>
    <w:rsid w:val="002645D8"/>
    <w:rsid w:val="00376305"/>
    <w:rsid w:val="00EC612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2243B8"/>
  <w15:docId w15:val="{C14E16AB-16D3-4BD1-A0C6-F7AA4D19D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ES" w:eastAsia="es-E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eastAsia="en-US"/>
    </w:rPr>
  </w:style>
  <w:style w:type="paragraph" w:styleId="Ttulo1">
    <w:name w:val="heading 1"/>
    <w:basedOn w:val="Normal"/>
    <w:next w:val="Normal"/>
    <w:link w:val="Ttulo1Car"/>
    <w:uiPriority w:val="9"/>
    <w:qFormat/>
    <w:rsid w:val="00E6379E"/>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B45F1A"/>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45F1A"/>
  </w:style>
  <w:style w:type="paragraph" w:styleId="Piedepgina">
    <w:name w:val="footer"/>
    <w:basedOn w:val="Normal"/>
    <w:link w:val="PiedepginaCar"/>
    <w:uiPriority w:val="99"/>
    <w:unhideWhenUsed/>
    <w:rsid w:val="00B45F1A"/>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45F1A"/>
  </w:style>
  <w:style w:type="paragraph" w:styleId="Prrafodelista">
    <w:name w:val="List Paragraph"/>
    <w:basedOn w:val="Normal"/>
    <w:uiPriority w:val="34"/>
    <w:qFormat/>
    <w:rsid w:val="000906AE"/>
    <w:pPr>
      <w:ind w:left="720"/>
      <w:contextualSpacing/>
    </w:pPr>
  </w:style>
  <w:style w:type="paragraph" w:styleId="Textodeglobo">
    <w:name w:val="Balloon Text"/>
    <w:basedOn w:val="Normal"/>
    <w:link w:val="TextodegloboCar"/>
    <w:uiPriority w:val="99"/>
    <w:semiHidden/>
    <w:unhideWhenUsed/>
    <w:rsid w:val="0025348E"/>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25348E"/>
    <w:rPr>
      <w:rFonts w:ascii="Tahoma" w:hAnsi="Tahoma" w:cs="Tahoma"/>
      <w:sz w:val="16"/>
      <w:szCs w:val="16"/>
    </w:rPr>
  </w:style>
  <w:style w:type="character" w:styleId="Refdecomentario">
    <w:name w:val="annotation reference"/>
    <w:uiPriority w:val="99"/>
    <w:semiHidden/>
    <w:unhideWhenUsed/>
    <w:rsid w:val="007B11D8"/>
    <w:rPr>
      <w:sz w:val="16"/>
      <w:szCs w:val="16"/>
    </w:rPr>
  </w:style>
  <w:style w:type="paragraph" w:styleId="Textocomentario">
    <w:name w:val="annotation text"/>
    <w:basedOn w:val="Normal"/>
    <w:link w:val="TextocomentarioCar"/>
    <w:uiPriority w:val="99"/>
    <w:unhideWhenUsed/>
    <w:rsid w:val="007B11D8"/>
    <w:pPr>
      <w:spacing w:line="240" w:lineRule="auto"/>
    </w:pPr>
    <w:rPr>
      <w:sz w:val="20"/>
      <w:szCs w:val="20"/>
    </w:rPr>
  </w:style>
  <w:style w:type="character" w:customStyle="1" w:styleId="TextocomentarioCar">
    <w:name w:val="Texto comentario Car"/>
    <w:link w:val="Textocomentario"/>
    <w:uiPriority w:val="99"/>
    <w:rsid w:val="007B11D8"/>
    <w:rPr>
      <w:sz w:val="20"/>
      <w:szCs w:val="20"/>
    </w:rPr>
  </w:style>
  <w:style w:type="paragraph" w:styleId="Asuntodelcomentario">
    <w:name w:val="annotation subject"/>
    <w:basedOn w:val="Textocomentario"/>
    <w:next w:val="Textocomentario"/>
    <w:link w:val="AsuntodelcomentarioCar"/>
    <w:uiPriority w:val="99"/>
    <w:semiHidden/>
    <w:unhideWhenUsed/>
    <w:rsid w:val="007B11D8"/>
    <w:rPr>
      <w:b/>
      <w:bCs/>
    </w:rPr>
  </w:style>
  <w:style w:type="character" w:customStyle="1" w:styleId="AsuntodelcomentarioCar">
    <w:name w:val="Asunto del comentario Car"/>
    <w:link w:val="Asuntodelcomentario"/>
    <w:uiPriority w:val="99"/>
    <w:semiHidden/>
    <w:rsid w:val="007B11D8"/>
    <w:rPr>
      <w:b/>
      <w:bCs/>
      <w:sz w:val="20"/>
      <w:szCs w:val="20"/>
    </w:rPr>
  </w:style>
  <w:style w:type="paragraph" w:styleId="Revisin">
    <w:name w:val="Revision"/>
    <w:hidden/>
    <w:uiPriority w:val="99"/>
    <w:semiHidden/>
    <w:rsid w:val="009D3E76"/>
    <w:rPr>
      <w:lang w:eastAsia="en-US"/>
    </w:rPr>
  </w:style>
  <w:style w:type="character" w:customStyle="1" w:styleId="Ttulo1Car">
    <w:name w:val="Título 1 Car"/>
    <w:basedOn w:val="Fuentedeprrafopredeter"/>
    <w:link w:val="Ttulo1"/>
    <w:uiPriority w:val="9"/>
    <w:rsid w:val="00E6379E"/>
    <w:rPr>
      <w:rFonts w:asciiTheme="majorHAnsi" w:eastAsiaTheme="majorEastAsia" w:hAnsiTheme="majorHAnsi" w:cstheme="majorBidi"/>
      <w:color w:val="365F91" w:themeColor="accent1" w:themeShade="BF"/>
      <w:sz w:val="32"/>
      <w:szCs w:val="32"/>
      <w:lang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www.graphenea.com" TargetMode="External"/><Relationship Id="rId26" Type="http://schemas.openxmlformats.org/officeDocument/2006/relationships/hyperlink" Target="http://www.iem.csic.es" TargetMode="External"/><Relationship Id="rId39" Type="http://schemas.openxmlformats.org/officeDocument/2006/relationships/hyperlink" Target="https://www.science.org/doi/10.1126/science.aad0201" TargetMode="External"/><Relationship Id="rId21" Type="http://schemas.openxmlformats.org/officeDocument/2006/relationships/image" Target="media/image10.jpg"/><Relationship Id="rId34" Type="http://schemas.openxmlformats.org/officeDocument/2006/relationships/hyperlink" Target="https://www.cem.es/" TargetMode="External"/><Relationship Id="rId42" Type="http://schemas.openxmlformats.org/officeDocument/2006/relationships/hyperlink" Target="https://physics.aps.org/articles/v18/42" TargetMode="External"/><Relationship Id="rId47" Type="http://schemas.openxmlformats.org/officeDocument/2006/relationships/hyperlink" Target="https://doi.org/10.1038/s42005-024-01632-7" TargetMode="External"/><Relationship Id="rId50" Type="http://schemas.openxmlformats.org/officeDocument/2006/relationships/hyperlink" Target="https://journals.aps.org/prx/abstract/10.1103/PhysRevX.15.011039" TargetMode="External"/><Relationship Id="rId55" Type="http://schemas.openxmlformats.org/officeDocument/2006/relationships/hyperlink" Target="https://journals.aps.org/prresearch/abstract/10.1103/PhysRevResearch.5.023075" TargetMode="External"/><Relationship Id="rId63" Type="http://schemas.openxmlformats.org/officeDocument/2006/relationships/hyperlink" Target="https://iopscience.iop.org/article/10.1088/1361-6463/acbe4c" TargetMode="External"/><Relationship Id="rId68" Type="http://schemas.openxmlformats.org/officeDocument/2006/relationships/hyperlink" Target="https://journals.aps.org/rmp/abstract/10.1103/RevModPhys.88.025003" TargetMode="External"/><Relationship Id="rId76" Type="http://schemas.openxmlformats.org/officeDocument/2006/relationships/hyperlink" Target="https://www.nature.com/articles/s41586-019-1788-9" TargetMode="External"/><Relationship Id="rId84" Type="http://schemas.openxmlformats.org/officeDocument/2006/relationships/hyperlink" Target="https://graphene.iit.it/" TargetMode="External"/><Relationship Id="rId89" Type="http://schemas.openxmlformats.org/officeDocument/2006/relationships/image" Target="media/image15.png"/><Relationship Id="rId7" Type="http://schemas.openxmlformats.org/officeDocument/2006/relationships/endnotes" Target="endnotes.xml"/><Relationship Id="rId71" Type="http://schemas.openxmlformats.org/officeDocument/2006/relationships/hyperlink" Target="https://physicstoday.scitation.org/doi/10.1063/PT.3.4497tract/10.1103/PhysRevLett.107.183901" TargetMode="External"/><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propiedadintelectual.usal.es/" TargetMode="External"/><Relationship Id="rId29" Type="http://schemas.openxmlformats.org/officeDocument/2006/relationships/hyperlink" Target="https://centera.eu/" TargetMode="External"/><Relationship Id="rId11" Type="http://schemas.openxmlformats.org/officeDocument/2006/relationships/image" Target="media/image3.png"/><Relationship Id="rId24" Type="http://schemas.openxmlformats.org/officeDocument/2006/relationships/hyperlink" Target="http://www.qng.es" TargetMode="External"/><Relationship Id="rId32" Type="http://schemas.openxmlformats.org/officeDocument/2006/relationships/image" Target="media/image13.png"/><Relationship Id="rId37" Type="http://schemas.openxmlformats.org/officeDocument/2006/relationships/hyperlink" Target="https://www.nature.com/articles/s41586-019-1573-9" TargetMode="External"/><Relationship Id="rId40" Type="http://schemas.openxmlformats.org/officeDocument/2006/relationships/hyperlink" Target="https://www.science.org/doi/10.1126/sciadv.adi0415" TargetMode="External"/><Relationship Id="rId45" Type="http://schemas.openxmlformats.org/officeDocument/2006/relationships/hyperlink" Target="https://doi.org/10.1515/nanoph-2021-0573" TargetMode="External"/><Relationship Id="rId53" Type="http://schemas.openxmlformats.org/officeDocument/2006/relationships/hyperlink" Target="https://arxiv.org/abs/2502.10265" TargetMode="External"/><Relationship Id="rId58" Type="http://schemas.openxmlformats.org/officeDocument/2006/relationships/hyperlink" Target="https://journals.aps.org/prx/abstract/10.1103/PhysRevX.11.031030" TargetMode="External"/><Relationship Id="rId66" Type="http://schemas.openxmlformats.org/officeDocument/2006/relationships/hyperlink" Target="https://www.sciencedirect.com/science/article/pii/S2405896322017293" TargetMode="External"/><Relationship Id="rId74" Type="http://schemas.openxmlformats.org/officeDocument/2006/relationships/hyperlink" Target="https://iopscience.iop.org/article/10.1088/2053-1583/ad1e78" TargetMode="External"/><Relationship Id="rId79" Type="http://schemas.openxmlformats.org/officeDocument/2006/relationships/hyperlink" Target="https://www.nature.com/articles/s41567-021-01341-w" TargetMode="External"/><Relationship Id="rId87" Type="http://schemas.openxmlformats.org/officeDocument/2006/relationships/hyperlink" Target="https://www.cem.es/es" TargetMode="External"/><Relationship Id="rId5" Type="http://schemas.openxmlformats.org/officeDocument/2006/relationships/webSettings" Target="webSettings.xml"/><Relationship Id="rId61" Type="http://schemas.openxmlformats.org/officeDocument/2006/relationships/hyperlink" Target="https://www.nature.com/articles/nphys4240" TargetMode="External"/><Relationship Id="rId82" Type="http://schemas.openxmlformats.org/officeDocument/2006/relationships/hyperlink" Target="https://www.nature.com/articles/s41586-022-05619-8" TargetMode="External"/><Relationship Id="rId90" Type="http://schemas.openxmlformats.org/officeDocument/2006/relationships/image" Target="media/image16.png"/><Relationship Id="rId95" Type="http://schemas.openxmlformats.org/officeDocument/2006/relationships/fontTable" Target="fontTable.xml"/><Relationship Id="rId19" Type="http://schemas.openxmlformats.org/officeDocument/2006/relationships/image" Target="media/image8.jpg"/><Relationship Id="rId14" Type="http://schemas.openxmlformats.org/officeDocument/2006/relationships/image" Target="media/image6.png"/><Relationship Id="rId22" Type="http://schemas.openxmlformats.org/officeDocument/2006/relationships/image" Target="media/image11.jpg"/><Relationship Id="rId27" Type="http://schemas.openxmlformats.org/officeDocument/2006/relationships/hyperlink" Target="http://nanotech.usal.es" TargetMode="External"/><Relationship Id="rId30" Type="http://schemas.openxmlformats.org/officeDocument/2006/relationships/hyperlink" Target="https://nanotech.usal.es/facilities/" TargetMode="External"/><Relationship Id="rId35" Type="http://schemas.openxmlformats.org/officeDocument/2006/relationships/hyperlink" Target="https://doi.org/10.3390/nano14040383" TargetMode="External"/><Relationship Id="rId43" Type="http://schemas.openxmlformats.org/officeDocument/2006/relationships/hyperlink" Target="https://doi.org/10.1021/acs.nanolett.3c04300" TargetMode="External"/><Relationship Id="rId48" Type="http://schemas.openxmlformats.org/officeDocument/2006/relationships/hyperlink" Target="https://doi.org/10.1088/2053-1583/ad8d65" TargetMode="External"/><Relationship Id="rId56" Type="http://schemas.openxmlformats.org/officeDocument/2006/relationships/hyperlink" Target="https://iopscience.iop.org/article/10.1088/2053-1583/ad3e09/meta" TargetMode="External"/><Relationship Id="rId64" Type="http://schemas.openxmlformats.org/officeDocument/2006/relationships/hyperlink" Target="https://doi.org/10.1038/s42005-020-00495-y" TargetMode="External"/><Relationship Id="rId69" Type="http://schemas.openxmlformats.org/officeDocument/2006/relationships/hyperlink" Target="https://doi.org/10.1007/s40766-022-00036-z" TargetMode="External"/><Relationship Id="rId77" Type="http://schemas.openxmlformats.org/officeDocument/2006/relationships/hyperlink" Target="https://www.nature.com/articles/s41928-024-01290-1" TargetMode="External"/><Relationship Id="rId8" Type="http://schemas.openxmlformats.org/officeDocument/2006/relationships/hyperlink" Target="https://patents.google.com/patent/US8878150B2/en" TargetMode="External"/><Relationship Id="rId51" Type="http://schemas.openxmlformats.org/officeDocument/2006/relationships/hyperlink" Target="https://doi.org/10.1103/PhysRevResearch.7.013087" TargetMode="External"/><Relationship Id="rId72" Type="http://schemas.openxmlformats.org/officeDocument/2006/relationships/hyperlink" Target="https://journals.aps.org/prresearch/abstract/10.1103/PhysRevResearch.6.023212" TargetMode="External"/><Relationship Id="rId80" Type="http://schemas.openxmlformats.org/officeDocument/2006/relationships/hyperlink" Target="https://doi.org/10.1126/science.adp5015" TargetMode="External"/><Relationship Id="rId85" Type="http://schemas.openxmlformats.org/officeDocument/2006/relationships/hyperlink" Target="https://cni.iit.it/" TargetMode="External"/><Relationship Id="rId93"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propiedadintelectual.usal.es/" TargetMode="External"/><Relationship Id="rId25" Type="http://schemas.openxmlformats.org/officeDocument/2006/relationships/hyperlink" Target="http://www.iem.csic.es" TargetMode="External"/><Relationship Id="rId33" Type="http://schemas.openxmlformats.org/officeDocument/2006/relationships/hyperlink" Target="https://leapwavetech.com/" TargetMode="External"/><Relationship Id="rId38" Type="http://schemas.openxmlformats.org/officeDocument/2006/relationships/hyperlink" Target="https://pubs.aip.org/aip/apl/article/121/3/031103/2833864/Terahertz-photodetection-in-scalable-single-layer" TargetMode="External"/><Relationship Id="rId46" Type="http://schemas.openxmlformats.org/officeDocument/2006/relationships/hyperlink" Target="https://journals.aps.org/prl/abstract/10.1103/PhysRevLett.71.2465" TargetMode="External"/><Relationship Id="rId59" Type="http://schemas.openxmlformats.org/officeDocument/2006/relationships/hyperlink" Target="https://www.nature.com/articles/s41565-024-01795-y" TargetMode="External"/><Relationship Id="rId67" Type="http://schemas.openxmlformats.org/officeDocument/2006/relationships/hyperlink" Target="https://journals.aps.org/prb/abstract/10.1103/PhysRevB.51.13389" TargetMode="External"/><Relationship Id="rId20" Type="http://schemas.openxmlformats.org/officeDocument/2006/relationships/image" Target="media/image9.jpg"/><Relationship Id="rId41" Type="http://schemas.openxmlformats.org/officeDocument/2006/relationships/hyperlink" Target="https://www.science.org/doi/10.1126/science.aau0685" TargetMode="External"/><Relationship Id="rId54" Type="http://schemas.openxmlformats.org/officeDocument/2006/relationships/hyperlink" Target="https://summit.aps.org/events/MAR-F28/3" TargetMode="External"/><Relationship Id="rId62" Type="http://schemas.openxmlformats.org/officeDocument/2006/relationships/hyperlink" Target="https://www.nature.com/articles/s41586-020-2507-2?fromPaywallRec=false" TargetMode="External"/><Relationship Id="rId70" Type="http://schemas.openxmlformats.org/officeDocument/2006/relationships/hyperlink" Target="https://www.science.org/doi/full/10.1126/science.adj2167" TargetMode="External"/><Relationship Id="rId75" Type="http://schemas.openxmlformats.org/officeDocument/2006/relationships/hyperlink" Target="https://journals.aps.org/prl/abstract/10.1103/PhysRevLett.129.157701" TargetMode="External"/><Relationship Id="rId83" Type="http://schemas.openxmlformats.org/officeDocument/2006/relationships/hyperlink" Target="https://www.nature.com/articles/nature23893" TargetMode="External"/><Relationship Id="rId88" Type="http://schemas.openxmlformats.org/officeDocument/2006/relationships/image" Target="media/image14.png"/><Relationship Id="rId91" Type="http://schemas.openxmlformats.org/officeDocument/2006/relationships/header" Target="header1.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www.qng.es" TargetMode="External"/><Relationship Id="rId28" Type="http://schemas.openxmlformats.org/officeDocument/2006/relationships/hyperlink" Target="http://nanotech.usal.es" TargetMode="External"/><Relationship Id="rId36" Type="http://schemas.openxmlformats.org/officeDocument/2006/relationships/hyperlink" Target="https://www.nature.com/articles/s41586-022-04794-y" TargetMode="External"/><Relationship Id="rId49" Type="http://schemas.openxmlformats.org/officeDocument/2006/relationships/hyperlink" Target="https://revistadefisica.es/index.php/ref/issue/view/180/showToc" TargetMode="External"/><Relationship Id="rId57" Type="http://schemas.openxmlformats.org/officeDocument/2006/relationships/hyperlink" Target="https://journals.aps.org/prb/abstract/10.1103/PhysRevB.103.235152" TargetMode="External"/><Relationship Id="rId10" Type="http://schemas.openxmlformats.org/officeDocument/2006/relationships/image" Target="media/image2.png"/><Relationship Id="rId31" Type="http://schemas.openxmlformats.org/officeDocument/2006/relationships/image" Target="media/image12.png"/><Relationship Id="rId44" Type="http://schemas.openxmlformats.org/officeDocument/2006/relationships/hyperlink" Target="https://doi.org/10.1038/s41598-019-50098-z" TargetMode="External"/><Relationship Id="rId52" Type="http://schemas.openxmlformats.org/officeDocument/2006/relationships/hyperlink" Target="https://doi.org/10.1103/PhysRevB.111.075401" TargetMode="External"/><Relationship Id="rId60" Type="http://schemas.openxmlformats.org/officeDocument/2006/relationships/hyperlink" Target="https://pubs.acs.org/doi/10.1021/nl5006542" TargetMode="External"/><Relationship Id="rId65" Type="http://schemas.openxmlformats.org/officeDocument/2006/relationships/hyperlink" Target="https://pubs.acs.org/doi/10.1021/acsaelm.3c01511" TargetMode="External"/><Relationship Id="rId73" Type="http://schemas.openxmlformats.org/officeDocument/2006/relationships/hyperlink" Target="https://link.springer.com/article/10.1140/epjp/s13360-024-05771-2" TargetMode="External"/><Relationship Id="rId78" Type="http://schemas.openxmlformats.org/officeDocument/2006/relationships/hyperlink" Target="https://www.nature.com/articles/s41578-023-00597-3" TargetMode="External"/><Relationship Id="rId81" Type="http://schemas.openxmlformats.org/officeDocument/2006/relationships/hyperlink" Target="https://www.nature.com/articles/s41586-022-05619-8" TargetMode="External"/><Relationship Id="rId86" Type="http://schemas.openxmlformats.org/officeDocument/2006/relationships/hyperlink" Target="https://leapwavetech.com/" TargetMode="External"/><Relationship Id="rId9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7.jp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TKeSX7SdrUR+jhwSh0LUnW0o5A==">CgMxLjAaHgoBMBIZChcICVITChF0YWJsZS5zeXd2bWFnMmh0ZxofCgExEhoKGAgJUhQKEnRhYmxlLjI0MHVvZXBsdGI3ZxofCgEyEhoKGAgJUhQKEnRhYmxlLmNpMmRncTVjY3lzMzgAciExM09OY05FQVZHOGt0TERfRnk3bndMZEdyZXBkLWl4RHQ=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33</Pages>
  <Words>14163</Words>
  <Characters>80735</Characters>
  <Application>Microsoft Office Word</Application>
  <DocSecurity>0</DocSecurity>
  <Lines>672</Lines>
  <Paragraphs>189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Enrique</dc:creator>
  <cp:lastModifiedBy>Usuario</cp:lastModifiedBy>
  <cp:revision>3</cp:revision>
  <dcterms:created xsi:type="dcterms:W3CDTF">2025-07-07T22:09:00Z</dcterms:created>
  <dcterms:modified xsi:type="dcterms:W3CDTF">2025-07-07T22:13:00Z</dcterms:modified>
</cp:coreProperties>
</file>